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33A9CF" w14:textId="418D4759" w:rsidR="005F111D" w:rsidRDefault="007677B8" w:rsidP="00544ADD">
      <w:pPr>
        <w:pStyle w:val="Heading1"/>
      </w:pPr>
      <w:r>
        <w:t>I4 Risks to Fuel Supply Systems</w:t>
      </w:r>
    </w:p>
    <w:p w14:paraId="20CFA776" w14:textId="35774DD2" w:rsidR="00770BE9" w:rsidRDefault="00770BE9" w:rsidP="00770BE9">
      <w:pPr>
        <w:pStyle w:val="Heading2"/>
      </w:pPr>
      <w:r>
        <w:t>Summary vulnerability assessment</w:t>
      </w:r>
    </w:p>
    <w:p w14:paraId="5B5FD3EA" w14:textId="0764AA14" w:rsidR="004A2CC9" w:rsidRDefault="00282A29" w:rsidP="00770BE9">
      <w:pPr>
        <w:rPr>
          <w:highlight w:val="yellow"/>
          <w:lang w:val="en-GB" w:eastAsia="en-US"/>
        </w:rPr>
      </w:pPr>
      <w:r w:rsidRPr="00282A29">
        <w:rPr>
          <w:lang w:val="en-GB" w:eastAsia="en-US"/>
        </w:rPr>
        <w:t>This report forms part of the West Yorkshire Combined Authority Climate Risk and Vulnerability Assessment and examines risks to fuel supply systems from flooding, storms, heat, drought and wildfire. Exposure is</w:t>
      </w:r>
      <w:r w:rsidR="00D50F84">
        <w:rPr>
          <w:lang w:val="en-GB" w:eastAsia="en-US"/>
        </w:rPr>
        <w:t xml:space="preserve"> score as</w:t>
      </w:r>
      <w:r w:rsidRPr="00282A29">
        <w:rPr>
          <w:lang w:val="en-GB" w:eastAsia="en-US"/>
        </w:rPr>
        <w:t xml:space="preserve"> moderate</w:t>
      </w:r>
      <w:r w:rsidR="00D50F84">
        <w:rPr>
          <w:lang w:val="en-GB" w:eastAsia="en-US"/>
        </w:rPr>
        <w:t>. F</w:t>
      </w:r>
      <w:r w:rsidRPr="00282A29">
        <w:rPr>
          <w:lang w:val="en-GB" w:eastAsia="en-US"/>
        </w:rPr>
        <w:t xml:space="preserve">uel supply serves the whole region, but direct exposure is likely to be concentrated at flood-prone assets, watercourse crossings and affected access routes. Sensitivity is </w:t>
      </w:r>
      <w:r w:rsidR="00C84014">
        <w:rPr>
          <w:lang w:val="en-GB" w:eastAsia="en-US"/>
        </w:rPr>
        <w:t xml:space="preserve">also scored as </w:t>
      </w:r>
      <w:r w:rsidRPr="00282A29">
        <w:rPr>
          <w:lang w:val="en-GB" w:eastAsia="en-US"/>
        </w:rPr>
        <w:t>moderate</w:t>
      </w:r>
      <w:r w:rsidR="00C84014">
        <w:rPr>
          <w:lang w:val="en-GB" w:eastAsia="en-US"/>
        </w:rPr>
        <w:t>. D</w:t>
      </w:r>
      <w:r w:rsidRPr="00282A29">
        <w:rPr>
          <w:lang w:val="en-GB" w:eastAsia="en-US"/>
        </w:rPr>
        <w:t>isruption could affect heating, transport, emergency services and other essential services, although much of the gas network has features that reduce its direct vulnerability. Northern Gas Networks’ inspections, severe-weather procedures and backup power, alongside regional fuel-disruption planning, provide significant adaptive capacity. However, limited information on fuel asset locations and access routes makes local risks difficult to assess, while the resilience of emerging hydrogen infrastructure remains uncertain.</w:t>
      </w:r>
    </w:p>
    <w:p w14:paraId="49B9ACD8" w14:textId="367EEB7C" w:rsidR="000E34D7" w:rsidRDefault="00CA2666" w:rsidP="00770BE9">
      <w:pPr>
        <w:rPr>
          <w:lang w:val="en-GB" w:eastAsia="en-US"/>
        </w:rPr>
      </w:pPr>
      <w:r w:rsidRPr="00A81270">
        <w:t xml:space="preserve">The resulting </w:t>
      </w:r>
      <w:r w:rsidRPr="00AA3D87">
        <w:rPr>
          <w:b/>
          <w:bCs/>
        </w:rPr>
        <w:t xml:space="preserve">overall vulnerability rating is </w:t>
      </w:r>
      <w:r w:rsidR="00282A29">
        <w:rPr>
          <w:b/>
          <w:bCs/>
        </w:rPr>
        <w:t>low</w:t>
      </w:r>
      <w:r>
        <w:t xml:space="preserve">. </w:t>
      </w:r>
      <w:r w:rsidRPr="00A81270">
        <w:t xml:space="preserve">The figure below </w:t>
      </w:r>
      <w:proofErr w:type="spellStart"/>
      <w:r w:rsidRPr="00A81270">
        <w:t>summarises</w:t>
      </w:r>
      <w:proofErr w:type="spellEnd"/>
      <w:r w:rsidRPr="00A81270">
        <w:t xml:space="preserve"> the assessment scores for exposure, sensitivity, adaptive capacity and overall vulnerability</w:t>
      </w:r>
      <w:r w:rsidRPr="00E50298">
        <w:rPr>
          <w:lang w:val="en-GB" w:eastAsia="en-US"/>
        </w:rPr>
        <w:t>.</w:t>
      </w:r>
      <w:r w:rsidRPr="00E50298">
        <w:rPr>
          <w:rStyle w:val="FootnoteReference"/>
          <w:lang w:val="en-GB" w:eastAsia="en-US"/>
        </w:rPr>
        <w:footnoteReference w:id="1"/>
      </w:r>
    </w:p>
    <w:p w14:paraId="2761900E" w14:textId="371CC3EB" w:rsidR="005014C9" w:rsidRDefault="004E6B87" w:rsidP="00770BE9">
      <w:pPr>
        <w:rPr>
          <w:lang w:val="en-GB" w:eastAsia="en-US"/>
        </w:rPr>
      </w:pPr>
      <w:r w:rsidRPr="004E6B87">
        <w:rPr>
          <w:noProof/>
          <w:lang w:eastAsia="en-US"/>
        </w:rPr>
        <mc:AlternateContent>
          <mc:Choice Requires="wpg">
            <w:drawing>
              <wp:inline distT="0" distB="0" distL="0" distR="0" wp14:anchorId="5DBE7413" wp14:editId="4FF88588">
                <wp:extent cx="5555226" cy="1218610"/>
                <wp:effectExtent l="0" t="0" r="26670" b="19685"/>
                <wp:docPr id="76" name="Group 75">
                  <a:extLst xmlns:a="http://schemas.openxmlformats.org/drawingml/2006/main">
                    <a:ext uri="{FF2B5EF4-FFF2-40B4-BE49-F238E27FC236}">
                      <a16:creationId xmlns:a16="http://schemas.microsoft.com/office/drawing/2014/main" id="{F5FC9DC3-29C9-DEC1-2582-FB0959534DC9}"/>
                    </a:ext>
                  </a:extLst>
                </wp:docPr>
                <wp:cNvGraphicFramePr/>
                <a:graphic xmlns:a="http://schemas.openxmlformats.org/drawingml/2006/main">
                  <a:graphicData uri="http://schemas.microsoft.com/office/word/2010/wordprocessingGroup">
                    <wpg:wgp>
                      <wpg:cNvGrpSpPr/>
                      <wpg:grpSpPr>
                        <a:xfrm>
                          <a:off x="0" y="0"/>
                          <a:ext cx="5555226" cy="1218610"/>
                          <a:chOff x="0" y="0"/>
                          <a:chExt cx="5555226" cy="1218610"/>
                        </a:xfrm>
                      </wpg:grpSpPr>
                      <wps:wsp>
                        <wps:cNvPr id="739522249" name="Rectangle 739522249">
                          <a:extLst>
                            <a:ext uri="{FF2B5EF4-FFF2-40B4-BE49-F238E27FC236}">
                              <a16:creationId xmlns:a16="http://schemas.microsoft.com/office/drawing/2014/main" id="{9ED71C54-0435-0B4B-E365-17D6B8D4AD8E}"/>
                            </a:ext>
                          </a:extLst>
                        </wps:cNvPr>
                        <wps:cNvSpPr/>
                        <wps:spPr>
                          <a:xfrm>
                            <a:off x="0" y="0"/>
                            <a:ext cx="5555226" cy="1218610"/>
                          </a:xfrm>
                          <a:prstGeom prst="rect">
                            <a:avLst/>
                          </a:prstGeom>
                          <a:solidFill>
                            <a:srgbClr val="DBEBEA"/>
                          </a:solidFill>
                          <a:ln w="3175"/>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425484243" name="Rectangle 1425484243">
                          <a:extLst>
                            <a:ext uri="{FF2B5EF4-FFF2-40B4-BE49-F238E27FC236}">
                              <a16:creationId xmlns:a16="http://schemas.microsoft.com/office/drawing/2014/main" id="{E41DF2A9-F070-7C87-ED4A-FE58780510E7}"/>
                            </a:ext>
                          </a:extLst>
                        </wps:cNvPr>
                        <wps:cNvSpPr/>
                        <wps:spPr>
                          <a:xfrm>
                            <a:off x="118713" y="610292"/>
                            <a:ext cx="990773" cy="515398"/>
                          </a:xfrm>
                          <a:prstGeom prst="rect">
                            <a:avLst/>
                          </a:prstGeom>
                          <a:solidFill>
                            <a:srgbClr val="FFCC66"/>
                          </a:solidFill>
                          <a:ln w="3175">
                            <a:solidFill>
                              <a:schemeClr val="bg1"/>
                            </a:solidFill>
                          </a:ln>
                        </wps:spPr>
                        <wps:style>
                          <a:lnRef idx="3">
                            <a:schemeClr val="lt1"/>
                          </a:lnRef>
                          <a:fillRef idx="1">
                            <a:schemeClr val="accent2"/>
                          </a:fillRef>
                          <a:effectRef idx="1">
                            <a:schemeClr val="accent2"/>
                          </a:effectRef>
                          <a:fontRef idx="minor">
                            <a:schemeClr val="lt1"/>
                          </a:fontRef>
                        </wps:style>
                        <wps:txbx>
                          <w:txbxContent>
                            <w:p w14:paraId="6BB11E2B" w14:textId="77777777" w:rsidR="004E6B87" w:rsidRDefault="004E6B87" w:rsidP="004E6B87">
                              <w:pPr>
                                <w:spacing w:after="92" w:line="216" w:lineRule="auto"/>
                                <w:jc w:val="center"/>
                                <w:rPr>
                                  <w:rFonts w:hAnsi="Aptos"/>
                                  <w:b/>
                                  <w:bCs/>
                                  <w:color w:val="000000" w:themeColor="text1"/>
                                  <w:kern w:val="24"/>
                                  <w:sz w:val="22"/>
                                  <w:szCs w:val="22"/>
                                </w:rPr>
                              </w:pPr>
                              <w:r>
                                <w:rPr>
                                  <w:rFonts w:hAnsi="Aptos"/>
                                  <w:b/>
                                  <w:bCs/>
                                  <w:color w:val="000000" w:themeColor="text1"/>
                                  <w:kern w:val="24"/>
                                  <w:sz w:val="22"/>
                                  <w:szCs w:val="22"/>
                                </w:rPr>
                                <w:t>1</w:t>
                              </w:r>
                            </w:p>
                            <w:p w14:paraId="04DF4C70" w14:textId="77777777" w:rsidR="004E6B87" w:rsidRDefault="004E6B87" w:rsidP="004E6B87">
                              <w:pPr>
                                <w:spacing w:after="92" w:line="216" w:lineRule="auto"/>
                                <w:jc w:val="center"/>
                                <w:rPr>
                                  <w:rFonts w:hAnsi="Aptos"/>
                                  <w:b/>
                                  <w:bCs/>
                                  <w:color w:val="000000" w:themeColor="text1"/>
                                  <w:kern w:val="24"/>
                                  <w:sz w:val="22"/>
                                  <w:szCs w:val="22"/>
                                </w:rPr>
                              </w:pPr>
                              <w:r>
                                <w:rPr>
                                  <w:rFonts w:hAnsi="Aptos"/>
                                  <w:b/>
                                  <w:bCs/>
                                  <w:color w:val="000000" w:themeColor="text1"/>
                                  <w:kern w:val="24"/>
                                  <w:sz w:val="22"/>
                                  <w:szCs w:val="22"/>
                                </w:rPr>
                                <w:t>Moderate</w:t>
                              </w:r>
                            </w:p>
                          </w:txbxContent>
                        </wps:txbx>
                        <wps:bodyPr spcFirstLastPara="0" vert="horz" wrap="square" lIns="72082" tIns="72082" rIns="72082" bIns="72082" numCol="1" spcCol="1270" anchor="ctr" anchorCtr="0">
                          <a:noAutofit/>
                        </wps:bodyPr>
                      </wps:wsp>
                      <wps:wsp>
                        <wps:cNvPr id="1865562360" name="Freeform: Shape 1865562360">
                          <a:extLst>
                            <a:ext uri="{FF2B5EF4-FFF2-40B4-BE49-F238E27FC236}">
                              <a16:creationId xmlns:a16="http://schemas.microsoft.com/office/drawing/2014/main" id="{E42FFADC-EF88-F06C-13FA-34EBFAEE9F51}"/>
                            </a:ext>
                          </a:extLst>
                        </wps:cNvPr>
                        <wps:cNvSpPr/>
                        <wps:spPr>
                          <a:xfrm>
                            <a:off x="1109171" y="424754"/>
                            <a:ext cx="462404" cy="462404"/>
                          </a:xfrm>
                          <a:custGeom>
                            <a:avLst/>
                            <a:gdLst>
                              <a:gd name="csX0" fmla="*/ 85519 w 645180"/>
                              <a:gd name="csY0" fmla="*/ 246717 h 645180"/>
                              <a:gd name="csX1" fmla="*/ 246717 w 645180"/>
                              <a:gd name="csY1" fmla="*/ 246717 h 645180"/>
                              <a:gd name="csX2" fmla="*/ 246717 w 645180"/>
                              <a:gd name="csY2" fmla="*/ 85519 h 645180"/>
                              <a:gd name="csX3" fmla="*/ 398463 w 645180"/>
                              <a:gd name="csY3" fmla="*/ 85519 h 645180"/>
                              <a:gd name="csX4" fmla="*/ 398463 w 645180"/>
                              <a:gd name="csY4" fmla="*/ 246717 h 645180"/>
                              <a:gd name="csX5" fmla="*/ 559661 w 645180"/>
                              <a:gd name="csY5" fmla="*/ 246717 h 645180"/>
                              <a:gd name="csX6" fmla="*/ 559661 w 645180"/>
                              <a:gd name="csY6" fmla="*/ 398463 h 645180"/>
                              <a:gd name="csX7" fmla="*/ 398463 w 645180"/>
                              <a:gd name="csY7" fmla="*/ 398463 h 645180"/>
                              <a:gd name="csX8" fmla="*/ 398463 w 645180"/>
                              <a:gd name="csY8" fmla="*/ 559661 h 645180"/>
                              <a:gd name="csX9" fmla="*/ 246717 w 645180"/>
                              <a:gd name="csY9" fmla="*/ 559661 h 645180"/>
                              <a:gd name="csX10" fmla="*/ 246717 w 645180"/>
                              <a:gd name="csY10" fmla="*/ 398463 h 645180"/>
                              <a:gd name="csX11" fmla="*/ 85519 w 645180"/>
                              <a:gd name="csY11" fmla="*/ 398463 h 645180"/>
                              <a:gd name="csX12" fmla="*/ 85519 w 645180"/>
                              <a:gd name="csY12" fmla="*/ 246717 h 64518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645180" h="645180">
                                <a:moveTo>
                                  <a:pt x="85519" y="246717"/>
                                </a:moveTo>
                                <a:lnTo>
                                  <a:pt x="246717" y="246717"/>
                                </a:lnTo>
                                <a:lnTo>
                                  <a:pt x="246717" y="85519"/>
                                </a:lnTo>
                                <a:lnTo>
                                  <a:pt x="398463" y="85519"/>
                                </a:lnTo>
                                <a:lnTo>
                                  <a:pt x="398463" y="246717"/>
                                </a:lnTo>
                                <a:lnTo>
                                  <a:pt x="559661" y="246717"/>
                                </a:lnTo>
                                <a:lnTo>
                                  <a:pt x="559661" y="398463"/>
                                </a:lnTo>
                                <a:lnTo>
                                  <a:pt x="398463" y="398463"/>
                                </a:lnTo>
                                <a:lnTo>
                                  <a:pt x="398463" y="559661"/>
                                </a:lnTo>
                                <a:lnTo>
                                  <a:pt x="246717" y="559661"/>
                                </a:lnTo>
                                <a:lnTo>
                                  <a:pt x="246717" y="398463"/>
                                </a:lnTo>
                                <a:lnTo>
                                  <a:pt x="85519" y="398463"/>
                                </a:lnTo>
                                <a:lnTo>
                                  <a:pt x="85519" y="246717"/>
                                </a:lnTo>
                                <a:close/>
                              </a:path>
                            </a:pathLst>
                          </a:custGeom>
                          <a:ln w="3175"/>
                        </wps:spPr>
                        <wps:style>
                          <a:lnRef idx="0">
                            <a:schemeClr val="accent1">
                              <a:tint val="60000"/>
                              <a:hueOff val="0"/>
                              <a:satOff val="0"/>
                              <a:lumOff val="0"/>
                              <a:alphaOff val="0"/>
                            </a:schemeClr>
                          </a:lnRef>
                          <a:fillRef idx="1">
                            <a:schemeClr val="accent1">
                              <a:tint val="60000"/>
                              <a:hueOff val="0"/>
                              <a:satOff val="0"/>
                              <a:lumOff val="0"/>
                              <a:alphaOff val="0"/>
                            </a:schemeClr>
                          </a:fillRef>
                          <a:effectRef idx="0">
                            <a:schemeClr val="accent1">
                              <a:tint val="60000"/>
                              <a:hueOff val="0"/>
                              <a:satOff val="0"/>
                              <a:lumOff val="0"/>
                              <a:alphaOff val="0"/>
                            </a:schemeClr>
                          </a:effectRef>
                          <a:fontRef idx="minor">
                            <a:schemeClr val="lt1"/>
                          </a:fontRef>
                        </wps:style>
                        <wps:bodyPr spcFirstLastPara="0" vert="horz" wrap="square" lIns="85519" tIns="246717" rIns="85519" bIns="246717" numCol="1" spcCol="1270" anchor="ctr" anchorCtr="0">
                          <a:noAutofit/>
                        </wps:bodyPr>
                      </wps:wsp>
                      <wps:wsp>
                        <wps:cNvPr id="1544965025" name="Rectangle 1544965025">
                          <a:extLst>
                            <a:ext uri="{FF2B5EF4-FFF2-40B4-BE49-F238E27FC236}">
                              <a16:creationId xmlns:a16="http://schemas.microsoft.com/office/drawing/2014/main" id="{CB4CABF6-358B-3DEF-BA04-703A4F82C1EE}"/>
                            </a:ext>
                          </a:extLst>
                        </wps:cNvPr>
                        <wps:cNvSpPr/>
                        <wps:spPr>
                          <a:xfrm>
                            <a:off x="1571260" y="610292"/>
                            <a:ext cx="990773" cy="515398"/>
                          </a:xfrm>
                          <a:prstGeom prst="rect">
                            <a:avLst/>
                          </a:prstGeom>
                          <a:solidFill>
                            <a:srgbClr val="FFCC66"/>
                          </a:solidFill>
                          <a:ln w="3175">
                            <a:solidFill>
                              <a:schemeClr val="bg1"/>
                            </a:solidFill>
                          </a:ln>
                        </wps:spPr>
                        <wps:style>
                          <a:lnRef idx="2">
                            <a:schemeClr val="lt1">
                              <a:hueOff val="0"/>
                              <a:satOff val="0"/>
                              <a:lumOff val="0"/>
                              <a:alphaOff val="0"/>
                            </a:schemeClr>
                          </a:lnRef>
                          <a:fillRef idx="1">
                            <a:schemeClr val="accent1">
                              <a:hueOff val="0"/>
                              <a:satOff val="0"/>
                              <a:lumOff val="0"/>
                              <a:alphaOff val="0"/>
                            </a:schemeClr>
                          </a:fillRef>
                          <a:effectRef idx="0">
                            <a:schemeClr val="accent1">
                              <a:hueOff val="0"/>
                              <a:satOff val="0"/>
                              <a:lumOff val="0"/>
                              <a:alphaOff val="0"/>
                            </a:schemeClr>
                          </a:effectRef>
                          <a:fontRef idx="minor">
                            <a:schemeClr val="lt1"/>
                          </a:fontRef>
                        </wps:style>
                        <wps:txbx>
                          <w:txbxContent>
                            <w:p w14:paraId="38A84908" w14:textId="77777777" w:rsidR="004E6B87" w:rsidRDefault="004E6B87" w:rsidP="004E6B87">
                              <w:pPr>
                                <w:spacing w:after="92" w:line="216" w:lineRule="auto"/>
                                <w:jc w:val="center"/>
                                <w:rPr>
                                  <w:rFonts w:hAnsi="Aptos"/>
                                  <w:b/>
                                  <w:bCs/>
                                  <w:color w:val="000000" w:themeColor="text1"/>
                                  <w:kern w:val="24"/>
                                  <w:sz w:val="22"/>
                                  <w:szCs w:val="22"/>
                                </w:rPr>
                              </w:pPr>
                              <w:r>
                                <w:rPr>
                                  <w:rFonts w:hAnsi="Aptos"/>
                                  <w:b/>
                                  <w:bCs/>
                                  <w:color w:val="000000" w:themeColor="text1"/>
                                  <w:kern w:val="24"/>
                                  <w:sz w:val="22"/>
                                  <w:szCs w:val="22"/>
                                </w:rPr>
                                <w:t>1</w:t>
                              </w:r>
                            </w:p>
                            <w:p w14:paraId="2B0695CB" w14:textId="77777777" w:rsidR="004E6B87" w:rsidRDefault="004E6B87" w:rsidP="004E6B87">
                              <w:pPr>
                                <w:spacing w:after="92" w:line="216" w:lineRule="auto"/>
                                <w:jc w:val="center"/>
                                <w:rPr>
                                  <w:rFonts w:hAnsi="Aptos"/>
                                  <w:b/>
                                  <w:bCs/>
                                  <w:color w:val="000000" w:themeColor="text1"/>
                                  <w:kern w:val="24"/>
                                  <w:sz w:val="22"/>
                                  <w:szCs w:val="22"/>
                                </w:rPr>
                              </w:pPr>
                              <w:r>
                                <w:rPr>
                                  <w:rFonts w:hAnsi="Aptos"/>
                                  <w:b/>
                                  <w:bCs/>
                                  <w:color w:val="000000" w:themeColor="text1"/>
                                  <w:kern w:val="24"/>
                                  <w:sz w:val="22"/>
                                  <w:szCs w:val="22"/>
                                </w:rPr>
                                <w:t>Moderate</w:t>
                              </w:r>
                            </w:p>
                          </w:txbxContent>
                        </wps:txbx>
                        <wps:bodyPr spcFirstLastPara="0" vert="horz" wrap="square" lIns="72082" tIns="72082" rIns="72082" bIns="72082" numCol="1" spcCol="1270" anchor="ctr" anchorCtr="0">
                          <a:noAutofit/>
                        </wps:bodyPr>
                      </wps:wsp>
                      <wps:wsp>
                        <wps:cNvPr id="1087697437" name="Freeform: Shape 1087697437">
                          <a:extLst>
                            <a:ext uri="{FF2B5EF4-FFF2-40B4-BE49-F238E27FC236}">
                              <a16:creationId xmlns:a16="http://schemas.microsoft.com/office/drawing/2014/main" id="{727CBAD6-075A-CACE-8851-E57435475E73}"/>
                            </a:ext>
                          </a:extLst>
                        </wps:cNvPr>
                        <wps:cNvSpPr/>
                        <wps:spPr>
                          <a:xfrm>
                            <a:off x="2561719" y="424754"/>
                            <a:ext cx="462404" cy="462404"/>
                          </a:xfrm>
                          <a:custGeom>
                            <a:avLst/>
                            <a:gdLst>
                              <a:gd name="csX0" fmla="*/ 85519 w 645180"/>
                              <a:gd name="csY0" fmla="*/ 246717 h 645180"/>
                              <a:gd name="csX1" fmla="*/ 559661 w 645180"/>
                              <a:gd name="csY1" fmla="*/ 246717 h 645180"/>
                              <a:gd name="csX2" fmla="*/ 559661 w 645180"/>
                              <a:gd name="csY2" fmla="*/ 398463 h 645180"/>
                              <a:gd name="csX3" fmla="*/ 85519 w 645180"/>
                              <a:gd name="csY3" fmla="*/ 398463 h 645180"/>
                              <a:gd name="csX4" fmla="*/ 85519 w 645180"/>
                              <a:gd name="csY4" fmla="*/ 246717 h 645180"/>
                            </a:gdLst>
                            <a:ahLst/>
                            <a:cxnLst>
                              <a:cxn ang="0">
                                <a:pos x="csX0" y="csY0"/>
                              </a:cxn>
                              <a:cxn ang="0">
                                <a:pos x="csX1" y="csY1"/>
                              </a:cxn>
                              <a:cxn ang="0">
                                <a:pos x="csX2" y="csY2"/>
                              </a:cxn>
                              <a:cxn ang="0">
                                <a:pos x="csX3" y="csY3"/>
                              </a:cxn>
                              <a:cxn ang="0">
                                <a:pos x="csX4" y="csY4"/>
                              </a:cxn>
                            </a:cxnLst>
                            <a:rect l="l" t="t" r="r" b="b"/>
                            <a:pathLst>
                              <a:path w="645180" h="645180">
                                <a:moveTo>
                                  <a:pt x="85519" y="246717"/>
                                </a:moveTo>
                                <a:lnTo>
                                  <a:pt x="559661" y="246717"/>
                                </a:lnTo>
                                <a:lnTo>
                                  <a:pt x="559661" y="398463"/>
                                </a:lnTo>
                                <a:lnTo>
                                  <a:pt x="85519" y="398463"/>
                                </a:lnTo>
                                <a:lnTo>
                                  <a:pt x="85519" y="246717"/>
                                </a:lnTo>
                                <a:close/>
                              </a:path>
                            </a:pathLst>
                          </a:custGeom>
                          <a:ln w="3175"/>
                        </wps:spPr>
                        <wps:style>
                          <a:lnRef idx="0">
                            <a:schemeClr val="accent1">
                              <a:tint val="60000"/>
                              <a:hueOff val="0"/>
                              <a:satOff val="0"/>
                              <a:lumOff val="0"/>
                              <a:alphaOff val="0"/>
                            </a:schemeClr>
                          </a:lnRef>
                          <a:fillRef idx="1">
                            <a:schemeClr val="accent1">
                              <a:tint val="60000"/>
                              <a:hueOff val="0"/>
                              <a:satOff val="0"/>
                              <a:lumOff val="0"/>
                              <a:alphaOff val="0"/>
                            </a:schemeClr>
                          </a:fillRef>
                          <a:effectRef idx="0">
                            <a:schemeClr val="accent1">
                              <a:tint val="60000"/>
                              <a:hueOff val="0"/>
                              <a:satOff val="0"/>
                              <a:lumOff val="0"/>
                              <a:alphaOff val="0"/>
                            </a:schemeClr>
                          </a:effectRef>
                          <a:fontRef idx="minor">
                            <a:schemeClr val="lt1"/>
                          </a:fontRef>
                        </wps:style>
                        <wps:bodyPr spcFirstLastPara="0" vert="horz" wrap="square" lIns="85519" tIns="246717" rIns="85519" bIns="246717" numCol="1" spcCol="1270" anchor="ctr" anchorCtr="0">
                          <a:noAutofit/>
                        </wps:bodyPr>
                      </wps:wsp>
                      <wps:wsp>
                        <wps:cNvPr id="285455528" name="Rectangle 285455528">
                          <a:extLst>
                            <a:ext uri="{FF2B5EF4-FFF2-40B4-BE49-F238E27FC236}">
                              <a16:creationId xmlns:a16="http://schemas.microsoft.com/office/drawing/2014/main" id="{961084FB-13D2-0D00-6D14-0AC564A11009}"/>
                            </a:ext>
                          </a:extLst>
                        </wps:cNvPr>
                        <wps:cNvSpPr/>
                        <wps:spPr>
                          <a:xfrm>
                            <a:off x="3023808" y="610292"/>
                            <a:ext cx="990773" cy="515398"/>
                          </a:xfrm>
                          <a:prstGeom prst="rect">
                            <a:avLst/>
                          </a:prstGeom>
                          <a:solidFill>
                            <a:srgbClr val="FFCC66"/>
                          </a:solidFill>
                          <a:ln w="3175">
                            <a:solidFill>
                              <a:schemeClr val="bg1"/>
                            </a:solidFill>
                          </a:ln>
                        </wps:spPr>
                        <wps:style>
                          <a:lnRef idx="3">
                            <a:schemeClr val="lt1"/>
                          </a:lnRef>
                          <a:fillRef idx="1">
                            <a:schemeClr val="accent3"/>
                          </a:fillRef>
                          <a:effectRef idx="1">
                            <a:schemeClr val="accent3"/>
                          </a:effectRef>
                          <a:fontRef idx="minor">
                            <a:schemeClr val="lt1"/>
                          </a:fontRef>
                        </wps:style>
                        <wps:txbx>
                          <w:txbxContent>
                            <w:p w14:paraId="32F254F0" w14:textId="77777777" w:rsidR="004E6B87" w:rsidRDefault="004E6B87" w:rsidP="004E6B87">
                              <w:pPr>
                                <w:spacing w:after="92" w:line="216" w:lineRule="auto"/>
                                <w:jc w:val="center"/>
                                <w:rPr>
                                  <w:rFonts w:hAnsi="Aptos"/>
                                  <w:b/>
                                  <w:bCs/>
                                  <w:color w:val="000000" w:themeColor="text1"/>
                                  <w:kern w:val="24"/>
                                  <w:sz w:val="22"/>
                                  <w:szCs w:val="22"/>
                                </w:rPr>
                              </w:pPr>
                              <w:r>
                                <w:rPr>
                                  <w:rFonts w:hAnsi="Aptos"/>
                                  <w:b/>
                                  <w:bCs/>
                                  <w:color w:val="000000" w:themeColor="text1"/>
                                  <w:kern w:val="24"/>
                                  <w:sz w:val="22"/>
                                  <w:szCs w:val="22"/>
                                </w:rPr>
                                <w:t xml:space="preserve">2 </w:t>
                              </w:r>
                            </w:p>
                            <w:p w14:paraId="15B13748" w14:textId="77777777" w:rsidR="004E6B87" w:rsidRDefault="004E6B87" w:rsidP="004E6B87">
                              <w:pPr>
                                <w:spacing w:after="92" w:line="216" w:lineRule="auto"/>
                                <w:jc w:val="center"/>
                                <w:rPr>
                                  <w:rFonts w:hAnsi="Aptos"/>
                                  <w:b/>
                                  <w:bCs/>
                                  <w:color w:val="000000" w:themeColor="text1"/>
                                  <w:kern w:val="24"/>
                                  <w:sz w:val="22"/>
                                  <w:szCs w:val="22"/>
                                </w:rPr>
                              </w:pPr>
                              <w:r>
                                <w:rPr>
                                  <w:rFonts w:hAnsi="Aptos"/>
                                  <w:b/>
                                  <w:bCs/>
                                  <w:color w:val="000000" w:themeColor="text1"/>
                                  <w:kern w:val="24"/>
                                  <w:sz w:val="22"/>
                                  <w:szCs w:val="22"/>
                                </w:rPr>
                                <w:t>Significant</w:t>
                              </w:r>
                            </w:p>
                          </w:txbxContent>
                        </wps:txbx>
                        <wps:bodyPr spcFirstLastPara="0" vert="horz" wrap="square" lIns="72082" tIns="72082" rIns="72082" bIns="72082" numCol="1" spcCol="1270" anchor="ctr" anchorCtr="0">
                          <a:noAutofit/>
                        </wps:bodyPr>
                      </wps:wsp>
                      <wps:wsp>
                        <wps:cNvPr id="1720596332" name="Freeform: Shape 1720596332">
                          <a:extLst>
                            <a:ext uri="{FF2B5EF4-FFF2-40B4-BE49-F238E27FC236}">
                              <a16:creationId xmlns:a16="http://schemas.microsoft.com/office/drawing/2014/main" id="{F10E6691-D6B3-1481-6635-407B5C1E0317}"/>
                            </a:ext>
                          </a:extLst>
                        </wps:cNvPr>
                        <wps:cNvSpPr/>
                        <wps:spPr>
                          <a:xfrm>
                            <a:off x="4014266" y="424754"/>
                            <a:ext cx="462404" cy="462404"/>
                          </a:xfrm>
                          <a:custGeom>
                            <a:avLst/>
                            <a:gdLst>
                              <a:gd name="csX0" fmla="*/ 85519 w 645180"/>
                              <a:gd name="csY0" fmla="*/ 132907 h 645180"/>
                              <a:gd name="csX1" fmla="*/ 559661 w 645180"/>
                              <a:gd name="csY1" fmla="*/ 132907 h 645180"/>
                              <a:gd name="csX2" fmla="*/ 559661 w 645180"/>
                              <a:gd name="csY2" fmla="*/ 284653 h 645180"/>
                              <a:gd name="csX3" fmla="*/ 85519 w 645180"/>
                              <a:gd name="csY3" fmla="*/ 284653 h 645180"/>
                              <a:gd name="csX4" fmla="*/ 85519 w 645180"/>
                              <a:gd name="csY4" fmla="*/ 132907 h 645180"/>
                              <a:gd name="csX5" fmla="*/ 85519 w 645180"/>
                              <a:gd name="csY5" fmla="*/ 360527 h 645180"/>
                              <a:gd name="csX6" fmla="*/ 559661 w 645180"/>
                              <a:gd name="csY6" fmla="*/ 360527 h 645180"/>
                              <a:gd name="csX7" fmla="*/ 559661 w 645180"/>
                              <a:gd name="csY7" fmla="*/ 512273 h 645180"/>
                              <a:gd name="csX8" fmla="*/ 85519 w 645180"/>
                              <a:gd name="csY8" fmla="*/ 512273 h 645180"/>
                              <a:gd name="csX9" fmla="*/ 85519 w 645180"/>
                              <a:gd name="csY9" fmla="*/ 360527 h 64518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645180" h="645180">
                                <a:moveTo>
                                  <a:pt x="85519" y="132907"/>
                                </a:moveTo>
                                <a:lnTo>
                                  <a:pt x="559661" y="132907"/>
                                </a:lnTo>
                                <a:lnTo>
                                  <a:pt x="559661" y="284653"/>
                                </a:lnTo>
                                <a:lnTo>
                                  <a:pt x="85519" y="284653"/>
                                </a:lnTo>
                                <a:lnTo>
                                  <a:pt x="85519" y="132907"/>
                                </a:lnTo>
                                <a:close/>
                                <a:moveTo>
                                  <a:pt x="85519" y="360527"/>
                                </a:moveTo>
                                <a:lnTo>
                                  <a:pt x="559661" y="360527"/>
                                </a:lnTo>
                                <a:lnTo>
                                  <a:pt x="559661" y="512273"/>
                                </a:lnTo>
                                <a:lnTo>
                                  <a:pt x="85519" y="512273"/>
                                </a:lnTo>
                                <a:lnTo>
                                  <a:pt x="85519" y="360527"/>
                                </a:lnTo>
                                <a:close/>
                              </a:path>
                            </a:pathLst>
                          </a:custGeom>
                          <a:ln w="3175"/>
                        </wps:spPr>
                        <wps:style>
                          <a:lnRef idx="0">
                            <a:schemeClr val="accent1">
                              <a:tint val="60000"/>
                              <a:hueOff val="0"/>
                              <a:satOff val="0"/>
                              <a:lumOff val="0"/>
                              <a:alphaOff val="0"/>
                            </a:schemeClr>
                          </a:lnRef>
                          <a:fillRef idx="1">
                            <a:schemeClr val="accent1">
                              <a:tint val="60000"/>
                              <a:hueOff val="0"/>
                              <a:satOff val="0"/>
                              <a:lumOff val="0"/>
                              <a:alphaOff val="0"/>
                            </a:schemeClr>
                          </a:fillRef>
                          <a:effectRef idx="0">
                            <a:schemeClr val="accent1">
                              <a:tint val="60000"/>
                              <a:hueOff val="0"/>
                              <a:satOff val="0"/>
                              <a:lumOff val="0"/>
                              <a:alphaOff val="0"/>
                            </a:schemeClr>
                          </a:effectRef>
                          <a:fontRef idx="minor">
                            <a:schemeClr val="lt1"/>
                          </a:fontRef>
                        </wps:style>
                        <wps:bodyPr spcFirstLastPara="0" vert="horz" wrap="square" lIns="85519" tIns="132907" rIns="85519" bIns="132907" numCol="1" spcCol="1270" anchor="ctr" anchorCtr="0">
                          <a:noAutofit/>
                        </wps:bodyPr>
                      </wps:wsp>
                      <wps:wsp>
                        <wps:cNvPr id="1179247450" name="Rectangle 1179247450">
                          <a:extLst>
                            <a:ext uri="{FF2B5EF4-FFF2-40B4-BE49-F238E27FC236}">
                              <a16:creationId xmlns:a16="http://schemas.microsoft.com/office/drawing/2014/main" id="{1EB14224-3DAC-D57B-9F5F-A1C45695C38B}"/>
                            </a:ext>
                          </a:extLst>
                        </wps:cNvPr>
                        <wps:cNvSpPr/>
                        <wps:spPr>
                          <a:xfrm>
                            <a:off x="4476354" y="610292"/>
                            <a:ext cx="990382" cy="515398"/>
                          </a:xfrm>
                          <a:prstGeom prst="rect">
                            <a:avLst/>
                          </a:prstGeom>
                          <a:solidFill>
                            <a:srgbClr val="92D050"/>
                          </a:solidFill>
                          <a:ln w="3175">
                            <a:solidFill>
                              <a:schemeClr val="bg1"/>
                            </a:solidFill>
                          </a:ln>
                        </wps:spPr>
                        <wps:style>
                          <a:lnRef idx="3">
                            <a:schemeClr val="lt1"/>
                          </a:lnRef>
                          <a:fillRef idx="1">
                            <a:schemeClr val="accent2"/>
                          </a:fillRef>
                          <a:effectRef idx="1">
                            <a:schemeClr val="accent2"/>
                          </a:effectRef>
                          <a:fontRef idx="minor">
                            <a:schemeClr val="lt1"/>
                          </a:fontRef>
                        </wps:style>
                        <wps:txbx>
                          <w:txbxContent>
                            <w:p w14:paraId="59DD43C7" w14:textId="77777777" w:rsidR="004E6B87" w:rsidRDefault="004E6B87" w:rsidP="004E6B87">
                              <w:pPr>
                                <w:spacing w:after="92" w:line="216" w:lineRule="auto"/>
                                <w:jc w:val="center"/>
                                <w:rPr>
                                  <w:rFonts w:hAnsi="Aptos"/>
                                  <w:b/>
                                  <w:bCs/>
                                  <w:color w:val="000000" w:themeColor="text1"/>
                                  <w:kern w:val="24"/>
                                  <w:sz w:val="22"/>
                                  <w:szCs w:val="22"/>
                                </w:rPr>
                              </w:pPr>
                              <w:r>
                                <w:rPr>
                                  <w:rFonts w:hAnsi="Aptos"/>
                                  <w:b/>
                                  <w:bCs/>
                                  <w:color w:val="000000" w:themeColor="text1"/>
                                  <w:kern w:val="24"/>
                                  <w:sz w:val="22"/>
                                  <w:szCs w:val="22"/>
                                </w:rPr>
                                <w:t>0</w:t>
                              </w:r>
                            </w:p>
                            <w:p w14:paraId="187DFC3E" w14:textId="77777777" w:rsidR="004E6B87" w:rsidRDefault="004E6B87" w:rsidP="004E6B87">
                              <w:pPr>
                                <w:spacing w:after="92" w:line="216" w:lineRule="auto"/>
                                <w:jc w:val="center"/>
                                <w:rPr>
                                  <w:rFonts w:hAnsi="Aptos"/>
                                  <w:b/>
                                  <w:bCs/>
                                  <w:color w:val="000000" w:themeColor="text1"/>
                                  <w:kern w:val="24"/>
                                  <w:sz w:val="22"/>
                                  <w:szCs w:val="22"/>
                                </w:rPr>
                              </w:pPr>
                              <w:r>
                                <w:rPr>
                                  <w:rFonts w:hAnsi="Aptos"/>
                                  <w:b/>
                                  <w:bCs/>
                                  <w:color w:val="000000" w:themeColor="text1"/>
                                  <w:kern w:val="24"/>
                                  <w:sz w:val="22"/>
                                  <w:szCs w:val="22"/>
                                </w:rPr>
                                <w:t>Low</w:t>
                              </w:r>
                            </w:p>
                          </w:txbxContent>
                        </wps:txbx>
                        <wps:bodyPr spcFirstLastPara="0" vert="horz" wrap="square" lIns="72082" tIns="72082" rIns="72082" bIns="72082" numCol="1" spcCol="1270" anchor="ctr" anchorCtr="0">
                          <a:noAutofit/>
                        </wps:bodyPr>
                      </wps:wsp>
                      <wps:wsp>
                        <wps:cNvPr id="264459590" name="Rectangle 264459590">
                          <a:extLst>
                            <a:ext uri="{FF2B5EF4-FFF2-40B4-BE49-F238E27FC236}">
                              <a16:creationId xmlns:a16="http://schemas.microsoft.com/office/drawing/2014/main" id="{C5F8B744-7FF4-3D53-A48E-0E3F6C79AA82}"/>
                            </a:ext>
                          </a:extLst>
                        </wps:cNvPr>
                        <wps:cNvSpPr/>
                        <wps:spPr>
                          <a:xfrm>
                            <a:off x="118713" y="98228"/>
                            <a:ext cx="990773" cy="505276"/>
                          </a:xfrm>
                          <a:prstGeom prst="rect">
                            <a:avLst/>
                          </a:prstGeom>
                          <a:solidFill>
                            <a:srgbClr val="47928D"/>
                          </a:solidFill>
                          <a:ln w="3175">
                            <a:solidFill>
                              <a:schemeClr val="bg1"/>
                            </a:solidFill>
                          </a:ln>
                        </wps:spPr>
                        <wps:style>
                          <a:lnRef idx="3">
                            <a:schemeClr val="lt1"/>
                          </a:lnRef>
                          <a:fillRef idx="1">
                            <a:schemeClr val="accent2"/>
                          </a:fillRef>
                          <a:effectRef idx="1">
                            <a:schemeClr val="accent2"/>
                          </a:effectRef>
                          <a:fontRef idx="minor">
                            <a:schemeClr val="lt1"/>
                          </a:fontRef>
                        </wps:style>
                        <wps:txbx>
                          <w:txbxContent>
                            <w:p w14:paraId="78250EA0" w14:textId="77777777" w:rsidR="004E6B87" w:rsidRDefault="004E6B87" w:rsidP="004E6B87">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Exposure</w:t>
                              </w:r>
                            </w:p>
                          </w:txbxContent>
                        </wps:txbx>
                        <wps:bodyPr spcFirstLastPara="0" vert="horz" wrap="square" lIns="72082" tIns="72082" rIns="72082" bIns="72082" numCol="1" spcCol="1270" anchor="ctr" anchorCtr="0">
                          <a:noAutofit/>
                        </wps:bodyPr>
                      </wps:wsp>
                      <wps:wsp>
                        <wps:cNvPr id="564878731" name="Rectangle 564878731">
                          <a:extLst>
                            <a:ext uri="{FF2B5EF4-FFF2-40B4-BE49-F238E27FC236}">
                              <a16:creationId xmlns:a16="http://schemas.microsoft.com/office/drawing/2014/main" id="{FA01F825-967E-AB04-EC2A-AF268835DA2D}"/>
                            </a:ext>
                          </a:extLst>
                        </wps:cNvPr>
                        <wps:cNvSpPr/>
                        <wps:spPr>
                          <a:xfrm>
                            <a:off x="1571260" y="98228"/>
                            <a:ext cx="990773" cy="505276"/>
                          </a:xfrm>
                          <a:prstGeom prst="rect">
                            <a:avLst/>
                          </a:prstGeom>
                          <a:solidFill>
                            <a:srgbClr val="47928D"/>
                          </a:solidFill>
                          <a:ln w="3175">
                            <a:solidFill>
                              <a:schemeClr val="bg1"/>
                            </a:solidFill>
                          </a:ln>
                        </wps:spPr>
                        <wps:style>
                          <a:lnRef idx="2">
                            <a:schemeClr val="lt1">
                              <a:hueOff val="0"/>
                              <a:satOff val="0"/>
                              <a:lumOff val="0"/>
                              <a:alphaOff val="0"/>
                            </a:schemeClr>
                          </a:lnRef>
                          <a:fillRef idx="1">
                            <a:schemeClr val="accent1">
                              <a:hueOff val="0"/>
                              <a:satOff val="0"/>
                              <a:lumOff val="0"/>
                              <a:alphaOff val="0"/>
                            </a:schemeClr>
                          </a:fillRef>
                          <a:effectRef idx="0">
                            <a:schemeClr val="accent1">
                              <a:hueOff val="0"/>
                              <a:satOff val="0"/>
                              <a:lumOff val="0"/>
                              <a:alphaOff val="0"/>
                            </a:schemeClr>
                          </a:effectRef>
                          <a:fontRef idx="minor">
                            <a:schemeClr val="lt1"/>
                          </a:fontRef>
                        </wps:style>
                        <wps:txbx>
                          <w:txbxContent>
                            <w:p w14:paraId="15EA2583" w14:textId="77777777" w:rsidR="004E6B87" w:rsidRDefault="004E6B87" w:rsidP="004E6B87">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Sensitivity</w:t>
                              </w:r>
                            </w:p>
                          </w:txbxContent>
                        </wps:txbx>
                        <wps:bodyPr spcFirstLastPara="0" vert="horz" wrap="square" lIns="72082" tIns="72082" rIns="72082" bIns="72082" numCol="1" spcCol="1270" anchor="ctr" anchorCtr="0">
                          <a:noAutofit/>
                        </wps:bodyPr>
                      </wps:wsp>
                      <wps:wsp>
                        <wps:cNvPr id="911879389" name="Rectangle 911879389">
                          <a:extLst>
                            <a:ext uri="{FF2B5EF4-FFF2-40B4-BE49-F238E27FC236}">
                              <a16:creationId xmlns:a16="http://schemas.microsoft.com/office/drawing/2014/main" id="{BC3F656A-F528-C082-3B84-419949680D01}"/>
                            </a:ext>
                          </a:extLst>
                        </wps:cNvPr>
                        <wps:cNvSpPr/>
                        <wps:spPr>
                          <a:xfrm>
                            <a:off x="3023808" y="98228"/>
                            <a:ext cx="990773" cy="505276"/>
                          </a:xfrm>
                          <a:prstGeom prst="rect">
                            <a:avLst/>
                          </a:prstGeom>
                          <a:solidFill>
                            <a:srgbClr val="47928D"/>
                          </a:solidFill>
                          <a:ln w="3175">
                            <a:solidFill>
                              <a:schemeClr val="bg1"/>
                            </a:solidFill>
                          </a:ln>
                        </wps:spPr>
                        <wps:style>
                          <a:lnRef idx="3">
                            <a:schemeClr val="lt1"/>
                          </a:lnRef>
                          <a:fillRef idx="1">
                            <a:schemeClr val="accent3"/>
                          </a:fillRef>
                          <a:effectRef idx="1">
                            <a:schemeClr val="accent3"/>
                          </a:effectRef>
                          <a:fontRef idx="minor">
                            <a:schemeClr val="lt1"/>
                          </a:fontRef>
                        </wps:style>
                        <wps:txbx>
                          <w:txbxContent>
                            <w:p w14:paraId="6FE1E85A" w14:textId="77777777" w:rsidR="004E6B87" w:rsidRDefault="004E6B87" w:rsidP="004E6B87">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Adaptive Capacity</w:t>
                              </w:r>
                            </w:p>
                          </w:txbxContent>
                        </wps:txbx>
                        <wps:bodyPr spcFirstLastPara="0" vert="horz" wrap="square" lIns="72082" tIns="72082" rIns="72082" bIns="72082" numCol="1" spcCol="1270" anchor="ctr" anchorCtr="0">
                          <a:noAutofit/>
                        </wps:bodyPr>
                      </wps:wsp>
                      <wps:wsp>
                        <wps:cNvPr id="710884430" name="Rectangle 710884430">
                          <a:extLst>
                            <a:ext uri="{FF2B5EF4-FFF2-40B4-BE49-F238E27FC236}">
                              <a16:creationId xmlns:a16="http://schemas.microsoft.com/office/drawing/2014/main" id="{E356F2AB-6074-EE5F-7A5E-AB395B24CA76}"/>
                            </a:ext>
                          </a:extLst>
                        </wps:cNvPr>
                        <wps:cNvSpPr/>
                        <wps:spPr>
                          <a:xfrm>
                            <a:off x="4476354" y="98228"/>
                            <a:ext cx="990382" cy="505276"/>
                          </a:xfrm>
                          <a:prstGeom prst="rect">
                            <a:avLst/>
                          </a:prstGeom>
                          <a:solidFill>
                            <a:srgbClr val="47928D"/>
                          </a:solidFill>
                          <a:ln w="3175">
                            <a:solidFill>
                              <a:schemeClr val="bg1"/>
                            </a:solidFill>
                          </a:ln>
                        </wps:spPr>
                        <wps:style>
                          <a:lnRef idx="3">
                            <a:schemeClr val="lt1"/>
                          </a:lnRef>
                          <a:fillRef idx="1">
                            <a:schemeClr val="accent2"/>
                          </a:fillRef>
                          <a:effectRef idx="1">
                            <a:schemeClr val="accent2"/>
                          </a:effectRef>
                          <a:fontRef idx="minor">
                            <a:schemeClr val="lt1"/>
                          </a:fontRef>
                        </wps:style>
                        <wps:txbx>
                          <w:txbxContent>
                            <w:p w14:paraId="1B5ED769" w14:textId="77777777" w:rsidR="004E6B87" w:rsidRDefault="004E6B87" w:rsidP="004E6B87">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Overall Vulnerability</w:t>
                              </w:r>
                            </w:p>
                          </w:txbxContent>
                        </wps:txbx>
                        <wps:bodyPr spcFirstLastPara="0" vert="horz" wrap="square" lIns="72082" tIns="72082" rIns="72082" bIns="72082" numCol="1" spcCol="1270" anchor="ctr" anchorCtr="0">
                          <a:noAutofit/>
                        </wps:bodyPr>
                      </wps:wsp>
                    </wpg:wgp>
                  </a:graphicData>
                </a:graphic>
              </wp:inline>
            </w:drawing>
          </mc:Choice>
          <mc:Fallback>
            <w:pict>
              <v:group w14:anchorId="5DBE7413" id="Group 75" o:spid="_x0000_s1026" style="width:437.4pt;height:95.95pt;mso-position-horizontal-relative:char;mso-position-vertical-relative:line" coordsize="55552,121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YGDTwAgAAL9GAAAOAAAAZHJzL2Uyb0RvYy54bWzsXFlvpEYQfo+U/4B4jJQd7mO0s1Fir1eR&#10;Vskqh5Q8YoY5JAYIYI83vz5fX9DYQEOc2eyBHzxAV1dXV1dV19Hw8ruHU6rdJ2V1zLONbr4wdC3J&#10;4nx7zPYb/fffbr4NdK2qo2wbpXmWbPT3SaV/9+rrr16ei3Vi5Yc83SalBiRZtT4XG/1Q18V6tari&#10;Q3KKqhd5kWRo3OXlKapxW+5X2zI6A/spXVmG4a3OebktyjxOqgpPr1mj/ori3+2SuP55t6uSWks3&#10;Omir6f+S/r8l/1evXkbrfRkVh2PMyYj+BRWn6Jhh0AbVdVRH2l15fILqdIzLvMp39Ys4P63y3e4Y&#10;J3QOmI1pPJrNmzK/K+hc9uvzvmjYBNY+4tO/Rhv/dP+mLH4t3pXgxLnYgxf0jszlYVeeyC+o1B4o&#10;y943LEseai3GQxd/luXpWow20zIDz+RMjQ/g/JN+8eG1oudKDLzqkHMuICBVy4PqeTz49RAVCWVt&#10;tQYP3pXacbvRfTvEbCwn1LUsOkFcf4EARdk+TbS2iTKK9mrYVq0rcPC5PGtmHq2LsqrfJPlJIxcb&#10;vQQZVLyi+7dVDQIAKkDIqFWeHrc3xzSlN+X+9iottfsIMn/9w+sfXn9PxBxdOmBppp03um36Lm0l&#10;/GWToFf1+zQhyNLsl2QH3mCpLUoB1cykwR/FcZLVJms6RNuEDWu6hkHlgIxKdJn0oDRQhATzDuQ2&#10;uDkCAcmQCNyMeA5PuiZUsZvOxhhhrHPTg46cZ3XT+XTM8rIPQYpZ8ZEZPMiXWEMub/Pte0hOWadX&#10;ObMvURYfcpiXuC4brkJqiWp9APE1Hct1Asdy7KfyK7VhVoQciL1agE0z8E2gg3ZDs63QItPCCnAl&#10;DkPD99FMtN81XTsMOM+E7RBS+mxBvrm5uvI8jn1IkAlpnbZG9phE3e7FmkpQENE0E4tL1Vha5o4G&#10;2ONyMlu0KTMx/LBoj+iF6HwZ0a4fbh+4nHApr4r45ghr9Daq6ndRiV0S+yl2fpgniPzfunbGLrrR&#10;q7/uojLRtfTHDCbat4zAwrYr35Tyza18k92dqCKZ8BmKmF1aPoaR1YrfXNV0FycrnuXf39X57kgN&#10;Y6uXfEk/oPoFnut6lu2BYrZ93JRJQnyXtUb3Gw3bo4CYp4RGaPrgCrQM2u27TlcLHc9yDIdpIb8G&#10;egiW0ML4jm0nhFtiC4GvssVmQh7tt5zeuPoDtO9OKVb3m5UWuK4ZamfNc1wzEL5SC/unDGs5nm/6&#10;2mEI+A+Q3yDmwMOYe4CHMUPApmOWgdn8hhHDsDWIYdoczx5hhgysQoy1mo5YBlZy2ZUwu27oeeYI&#10;yTKwEjN8vIZmJWYZmHNumM2+hFnJ5h7gYcwIPhqalZhlYD7BYczwEBvMSmmWgZWY4T/PQN2BVnLa&#10;lPVKpd0dYDXqp4o1ot4ycI/kwXQ1xik6MJc3WscPGTdYuMI2gDCIuX5FXpFAg1kv2Mi4gmliFhCQ&#10;xMINdmBGFR2EY6DqAMrZCGL/VXVgzhNGsCeSBH1nI1ArD1aoRoAasw7Mk1d3gHayDsKfUo0ApWMd&#10;/IlzgC6xDsIfVI0AFWEdwokjEMFnPVjAOYFPRKB5l6mrbTbLjStJothoXBpJdEbyCynNL9S6Bs+k&#10;1DXkF25JH4RqUU2EWFySuItvqdqhuSStp/w++S2ncDWRaKqilGimJJyEFizNZHAORCbZgRdQ4reg&#10;yCVoNg6bnwASvwyY6T8lZRbwBDqYRXw6S0GA+GWESNCcpolkz4Pmw4zhlvg3D3oCJe3CzwLu5Xac&#10;5lXCJkIEkTqGjUQSQZacw9lJgdHYmwhyfcxqFnx5SAlwJ/Jwl5DkEM1Q8EdVRDJ1nUfp3enxoygt&#10;DlH3IWbQRHl0brPDMBZkfXhCh8O+j5CrlwkznxNbch1hsaVQRhZc8iYWXIqmTz26dB0n9FzDwnb/&#10;ODlptm1Q9OnJHdc3LRKtYsNYsju9+U2SBSRm7GO0WBel6RnG6aJ0XcYOkXQXrQBQx7DNIZE81JL1&#10;4sW1/pqJaQS+F/qOjSBhIOvVQsyxTpbrIenFAoPPIuvFvMSRfIwcnbNdaySfJofQSswyMPMoRzA/&#10;zWQNR/IyrBKxnMmiW/QIL2TYHl7A61syBH92MgQfZ0zKQ6OJMakEPSvwmQXMHcJubLdESaTGO1Jv&#10;WqKkCbHnZbyTJUrqORzT741YgeuQIylIQD4OktqmOV6IbVh2YLB85hIj/dcVcJETH442RiyS6HwZ&#10;pWtCApr4XUKCbd8JtX4lNFH2R+3RtuF2DoQELcQcZXQMHGPBKRDiTXysIYFpWzgUM+Jey16+0nGX&#10;gZWYZS9fiVkGtlDbdu0RmmU3X+W5y7BKxLKbr0Iswyp5Ide2VYhlWJzecK2x5ZNL20omy8BKzHJp&#10;W4m5A2xalj+2fHJpW8UMGdZVIZYr2yrEMmwPL5aIjtStOxHdSN368635fvAwlpkSRWmV6SPdeDrw&#10;ojgpfp8UKZkF5NgFlPhl0FRxWP2T2uGJwL10iDB2rJbMlG/6hDvwgnTx+2TCzGZMnMMs4F46xIQh&#10;Nkt1s//89P9Thh126ZfqJkpuqpOz3Ciw6iZXda2nuimaPvXqpumHONnquGDN48DdbNtmBQuO79k4&#10;KjtS3bTJ4eTLn10PrWsDE2MJR+nkOTlc3ryEQbS009acaljOrtPXRxgbJryW0UTuNEGwRO4zInfL&#10;cxw3dMMeLWyb5iih9P5IGFhIy6HzwOsjJO4SBxLFwfX/7PURB+YluF5UEMcU2WtV4jjjhZNnNJ5Z&#10;VHCGCrqeE/iBbyPz83gjbJtmqaB0yueL18HlkI/8MuYzfPRP+ZAPPSe/GKUZRikk+3hoB8jhPTZK&#10;bdMcoySX1b54o/QlVtWop7fo4Awd9HHSLnAcu8c3b5vm6KAjBcj9OtjGx4tzji8GkNCFb5nskwgj&#10;xWnhXw9vsRM6X9g5p29zfS46SD8Xgq+k0HdA+BddyGdY5Htcy9+defUPAAAA//8DAFBLAwQUAAYA&#10;CAAAACEA8g/ju9wAAAAFAQAADwAAAGRycy9kb3ducmV2LnhtbEyPT0vDQBDF74LfYRnBm93Ev23M&#10;ppSinkrBVii9TZNpEpqdDdltkn57Ry96GXi8x5vfS+ejbVRPna8dG4gnESji3BU1lwa+tu93U1A+&#10;IBfYOCYDF/Iwz66vUkwKN/An9ZtQKilhn6CBKoQ20drnFVn0E9cSi3d0ncUgsit10eEg5bbR91H0&#10;rC3WLB8qbGlZUX7anK2BjwGHxUP81q9Ox+Vlv31a71YxGXN7My5eQQUaw18YfvAFHTJhOrgzF141&#10;BmRI+L3iTV8eZcZBQrN4BjpL9X/67BsAAP//AwBQSwECLQAUAAYACAAAACEAtoM4kv4AAADhAQAA&#10;EwAAAAAAAAAAAAAAAAAAAAAAW0NvbnRlbnRfVHlwZXNdLnhtbFBLAQItABQABgAIAAAAIQA4/SH/&#10;1gAAAJQBAAALAAAAAAAAAAAAAAAAAC8BAABfcmVscy8ucmVsc1BLAQItABQABgAIAAAAIQAUYGDT&#10;wAgAAL9GAAAOAAAAAAAAAAAAAAAAAC4CAABkcnMvZTJvRG9jLnhtbFBLAQItABQABgAIAAAAIQDy&#10;D+O73AAAAAUBAAAPAAAAAAAAAAAAAAAAABoLAABkcnMvZG93bnJldi54bWxQSwUGAAAAAAQABADz&#10;AAAAIwwAAAAA&#10;">
                <v:rect id="Rectangle 739522249" o:spid="_x0000_s1027" style="position:absolute;width:55552;height:121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sroxwAAAOIAAAAPAAAAZHJzL2Rvd25yZXYueG1sRI9fS8Qw&#10;EMTfBb9DWME3L7X1X+vlDhGUgk/ene9rsybFZlOa9Vq/vREEH4eZ+Q2z3i5hUEeaUh/ZwOWqAEXc&#10;RduzM3DYP13cgUqCbHGITAa+KcF2c3qyxsbGmV/puBOnMoRTgwa8yNhonTpPAdMqjsTZ+4hTQMly&#10;ctpOOGd4GHRZFDc6YM95weNIj566z91XMNBL1b34uX5/fqsObXStE7+fjTk/Wx7uQQkt8h/+a7fW&#10;wG1VX5dleVXD76V8B/TmBwAA//8DAFBLAQItABQABgAIAAAAIQDb4fbL7gAAAIUBAAATAAAAAAAA&#10;AAAAAAAAAAAAAABbQ29udGVudF9UeXBlc10ueG1sUEsBAi0AFAAGAAgAAAAhAFr0LFu/AAAAFQEA&#10;AAsAAAAAAAAAAAAAAAAAHwEAAF9yZWxzLy5yZWxzUEsBAi0AFAAGAAgAAAAhAK1yyujHAAAA4gAA&#10;AA8AAAAAAAAAAAAAAAAABwIAAGRycy9kb3ducmV2LnhtbFBLBQYAAAAAAwADALcAAAD7AgAAAAA=&#10;" fillcolor="#dbebea" strokecolor="#0c1615 [484]" strokeweight=".25pt"/>
                <v:rect id="Rectangle 1425484243" o:spid="_x0000_s1028" style="position:absolute;left:1187;top:6102;width:9907;height:51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t7ilyQAAAOMAAAAPAAAAZHJzL2Rvd25yZXYueG1sRE9PT8Iw&#10;FL+b+B2aZ+KFSOucCoNCjBHjiShw4PiyPrbF9bVZ6xh8ekti4vH9/r/5crCt6KkLjWMN92MFgrh0&#10;puFKw267upuACBHZYOuYNJwowHJxfTXHwrgjf1G/iZVIIRwK1FDH6AspQ1mTxTB2njhxB9dZjOns&#10;Kmk6PKZw28pMqSdpseHUUKOn15rK782P1aDUs+/Xhzdav48+/T6OtlMXzlrf3gwvMxCRhvgv/nN/&#10;mDQ/zx7zSZ7lD3D5KQEgF78AAAD//wMAUEsBAi0AFAAGAAgAAAAhANvh9svuAAAAhQEAABMAAAAA&#10;AAAAAAAAAAAAAAAAAFtDb250ZW50X1R5cGVzXS54bWxQSwECLQAUAAYACAAAACEAWvQsW78AAAAV&#10;AQAACwAAAAAAAAAAAAAAAAAfAQAAX3JlbHMvLnJlbHNQSwECLQAUAAYACAAAACEAN7e4pckAAADj&#10;AAAADwAAAAAAAAAAAAAAAAAHAgAAZHJzL2Rvd25yZXYueG1sUEsFBgAAAAADAAMAtwAAAP0CAAAA&#10;AA==&#10;" fillcolor="#fc6" strokecolor="white [3212]" strokeweight=".25pt">
                  <v:textbox inset="2.00228mm,2.00228mm,2.00228mm,2.00228mm">
                    <w:txbxContent>
                      <w:p w14:paraId="6BB11E2B" w14:textId="77777777" w:rsidR="004E6B87" w:rsidRDefault="004E6B87" w:rsidP="004E6B87">
                        <w:pPr>
                          <w:spacing w:after="92" w:line="216" w:lineRule="auto"/>
                          <w:jc w:val="center"/>
                          <w:rPr>
                            <w:rFonts w:hAnsi="Aptos"/>
                            <w:b/>
                            <w:bCs/>
                            <w:color w:val="000000" w:themeColor="text1"/>
                            <w:kern w:val="24"/>
                            <w:sz w:val="22"/>
                            <w:szCs w:val="22"/>
                          </w:rPr>
                        </w:pPr>
                        <w:r>
                          <w:rPr>
                            <w:rFonts w:hAnsi="Aptos"/>
                            <w:b/>
                            <w:bCs/>
                            <w:color w:val="000000" w:themeColor="text1"/>
                            <w:kern w:val="24"/>
                            <w:sz w:val="22"/>
                            <w:szCs w:val="22"/>
                          </w:rPr>
                          <w:t>1</w:t>
                        </w:r>
                      </w:p>
                      <w:p w14:paraId="04DF4C70" w14:textId="77777777" w:rsidR="004E6B87" w:rsidRDefault="004E6B87" w:rsidP="004E6B87">
                        <w:pPr>
                          <w:spacing w:after="92" w:line="216" w:lineRule="auto"/>
                          <w:jc w:val="center"/>
                          <w:rPr>
                            <w:rFonts w:hAnsi="Aptos"/>
                            <w:b/>
                            <w:bCs/>
                            <w:color w:val="000000" w:themeColor="text1"/>
                            <w:kern w:val="24"/>
                            <w:sz w:val="22"/>
                            <w:szCs w:val="22"/>
                          </w:rPr>
                        </w:pPr>
                        <w:r>
                          <w:rPr>
                            <w:rFonts w:hAnsi="Aptos"/>
                            <w:b/>
                            <w:bCs/>
                            <w:color w:val="000000" w:themeColor="text1"/>
                            <w:kern w:val="24"/>
                            <w:sz w:val="22"/>
                            <w:szCs w:val="22"/>
                          </w:rPr>
                          <w:t>Moderate</w:t>
                        </w:r>
                      </w:p>
                    </w:txbxContent>
                  </v:textbox>
                </v:rect>
                <v:shape id="Freeform: Shape 1865562360" o:spid="_x0000_s1029" style="position:absolute;left:11091;top:4247;width:4624;height:4624;visibility:visible;mso-wrap-style:square;v-text-anchor:middle" coordsize="645180,645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P8xWywAAAOMAAAAPAAAAZHJzL2Rvd25yZXYueG1sRI9BT8Mw&#10;DIXvSPyHyEjcWEpRs6ksm9AktB2QEB0HjlZj2kLjVEnYCr8eH5A42n5+733r7exHdaKYhsAWbhcF&#10;KOI2uIE7C6/Hx5sVqJSRHY6BycI3JdhuLi/WWLtw5hc6NblTYsKpRgt9zlOtdWp78pgWYSKW23uI&#10;HrOMsdMu4lnM/ajLojDa48CS0ONEu57az+bLWzgU5f4jNrvlWzXskzli+nlun6y9vpof7kFlmvO/&#10;+O/74KT+ylSVKe+MUAiTLEBvfgEAAP//AwBQSwECLQAUAAYACAAAACEA2+H2y+4AAACFAQAAEwAA&#10;AAAAAAAAAAAAAAAAAAAAW0NvbnRlbnRfVHlwZXNdLnhtbFBLAQItABQABgAIAAAAIQBa9CxbvwAA&#10;ABUBAAALAAAAAAAAAAAAAAAAAB8BAABfcmVscy8ucmVsc1BLAQItABQABgAIAAAAIQDLP8xWywAA&#10;AOMAAAAPAAAAAAAAAAAAAAAAAAcCAABkcnMvZG93bnJldi54bWxQSwUGAAAAAAMAAwC3AAAA/wIA&#10;AAAA&#10;" path="m85519,246717r161198,l246717,85519r151746,l398463,246717r161198,l559661,398463r-161198,l398463,559661r-151746,l246717,398463r-161198,l85519,246717xe" fillcolor="#94c4bf [1940]" stroked="f" strokeweight=".25pt">
                  <v:path arrowok="t" o:connecttype="custom" o:connectlocs="61292,176823;176823,176823;176823,61292;285581,61292;285581,176823;401112,176823;401112,285581;285581,285581;285581,401112;176823,401112;176823,285581;61292,285581;61292,176823" o:connectangles="0,0,0,0,0,0,0,0,0,0,0,0,0"/>
                </v:shape>
                <v:rect id="Rectangle 1544965025" o:spid="_x0000_s1030" style="position:absolute;left:15712;top:6102;width:9908;height:51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SCXyAAAAOMAAAAPAAAAZHJzL2Rvd25yZXYueG1sRE/NagIx&#10;EL4LfYcwBS9Sk4pr69YoRWzxJK320OOwGXeXbiZhE9etT98IQo/z/c9i1dtGdNSG2rGGx7ECQVw4&#10;U3Op4evw9vAMIkRkg41j0vBLAVbLu8ECc+PO/EndPpYihXDIUUMVo8+lDEVFFsPYeeLEHV1rMaaz&#10;LaVp8ZzCbSMnSs2kxZpTQ4We1hUVP/uT1aDUk+92xw3t3kcf/juODnMXLloP7/vXFxCR+vgvvrm3&#10;Js3PptP5LFOTDK4/JQDk8g8AAP//AwBQSwECLQAUAAYACAAAACEA2+H2y+4AAACFAQAAEwAAAAAA&#10;AAAAAAAAAAAAAAAAW0NvbnRlbnRfVHlwZXNdLnhtbFBLAQItABQABgAIAAAAIQBa9CxbvwAAABUB&#10;AAALAAAAAAAAAAAAAAAAAB8BAABfcmVscy8ucmVsc1BLAQItABQABgAIAAAAIQBCASCXyAAAAOMA&#10;AAAPAAAAAAAAAAAAAAAAAAcCAABkcnMvZG93bnJldi54bWxQSwUGAAAAAAMAAwC3AAAA/AIAAAAA&#10;" fillcolor="#fc6" strokecolor="white [3212]" strokeweight=".25pt">
                  <v:textbox inset="2.00228mm,2.00228mm,2.00228mm,2.00228mm">
                    <w:txbxContent>
                      <w:p w14:paraId="38A84908" w14:textId="77777777" w:rsidR="004E6B87" w:rsidRDefault="004E6B87" w:rsidP="004E6B87">
                        <w:pPr>
                          <w:spacing w:after="92" w:line="216" w:lineRule="auto"/>
                          <w:jc w:val="center"/>
                          <w:rPr>
                            <w:rFonts w:hAnsi="Aptos"/>
                            <w:b/>
                            <w:bCs/>
                            <w:color w:val="000000" w:themeColor="text1"/>
                            <w:kern w:val="24"/>
                            <w:sz w:val="22"/>
                            <w:szCs w:val="22"/>
                          </w:rPr>
                        </w:pPr>
                        <w:r>
                          <w:rPr>
                            <w:rFonts w:hAnsi="Aptos"/>
                            <w:b/>
                            <w:bCs/>
                            <w:color w:val="000000" w:themeColor="text1"/>
                            <w:kern w:val="24"/>
                            <w:sz w:val="22"/>
                            <w:szCs w:val="22"/>
                          </w:rPr>
                          <w:t>1</w:t>
                        </w:r>
                      </w:p>
                      <w:p w14:paraId="2B0695CB" w14:textId="77777777" w:rsidR="004E6B87" w:rsidRDefault="004E6B87" w:rsidP="004E6B87">
                        <w:pPr>
                          <w:spacing w:after="92" w:line="216" w:lineRule="auto"/>
                          <w:jc w:val="center"/>
                          <w:rPr>
                            <w:rFonts w:hAnsi="Aptos"/>
                            <w:b/>
                            <w:bCs/>
                            <w:color w:val="000000" w:themeColor="text1"/>
                            <w:kern w:val="24"/>
                            <w:sz w:val="22"/>
                            <w:szCs w:val="22"/>
                          </w:rPr>
                        </w:pPr>
                        <w:r>
                          <w:rPr>
                            <w:rFonts w:hAnsi="Aptos"/>
                            <w:b/>
                            <w:bCs/>
                            <w:color w:val="000000" w:themeColor="text1"/>
                            <w:kern w:val="24"/>
                            <w:sz w:val="22"/>
                            <w:szCs w:val="22"/>
                          </w:rPr>
                          <w:t>Moderate</w:t>
                        </w:r>
                      </w:p>
                    </w:txbxContent>
                  </v:textbox>
                </v:rect>
                <v:shape id="Freeform: Shape 1087697437" o:spid="_x0000_s1031" style="position:absolute;left:25617;top:4247;width:4624;height:4624;visibility:visible;mso-wrap-style:square;v-text-anchor:middle" coordsize="645180,645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5jO4yQAAAOMAAAAPAAAAZHJzL2Rvd25yZXYueG1sRE9PT8Iw&#10;FL+b+B2aZ8JNWkE2nBRiSAwcTIjDg8eX9bkN1telrTD99NaEhOP7/X+L1WA7cSIfWscaHsYKBHHl&#10;TMu1ho/96/0cRIjIBjvHpOGHAqyWtzcLLIw78zudyliLFMKhQA1NjH0hZagashjGridO3JfzFmM6&#10;fS2Nx3MKt52cKJVJiy2nhgZ7WjdUHctvq2GrJpuDL9f556zdhGyP4XdXvWk9uhtenkFEGuJVfHFv&#10;TZqv5nn2lD9Oc/j/KQEgl38AAAD//wMAUEsBAi0AFAAGAAgAAAAhANvh9svuAAAAhQEAABMAAAAA&#10;AAAAAAAAAAAAAAAAAFtDb250ZW50X1R5cGVzXS54bWxQSwECLQAUAAYACAAAACEAWvQsW78AAAAV&#10;AQAACwAAAAAAAAAAAAAAAAAfAQAAX3JlbHMvLnJlbHNQSwECLQAUAAYACAAAACEABeYzuMkAAADj&#10;AAAADwAAAAAAAAAAAAAAAAAHAgAAZHJzL2Rvd25yZXYueG1sUEsFBgAAAAADAAMAtwAAAP0CAAAA&#10;AA==&#10;" path="m85519,246717r474142,l559661,398463r-474142,l85519,246717xe" fillcolor="#94c4bf [1940]" stroked="f" strokeweight=".25pt">
                  <v:path arrowok="t" o:connecttype="custom" o:connectlocs="61292,176823;401112,176823;401112,285581;61292,285581;61292,176823" o:connectangles="0,0,0,0,0"/>
                </v:shape>
                <v:rect id="Rectangle 285455528" o:spid="_x0000_s1032" style="position:absolute;left:30238;top:6102;width:9907;height:51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mwf7yAAAAOIAAAAPAAAAZHJzL2Rvd25yZXYueG1sRE/PT8Iw&#10;FL6b+D80z8QLgdaFCQwKMUaNJ4LAgePL+tgW19dmrWP419uDCccv3+/VZrCt6KkLjWMNTxMFgrh0&#10;puFKw/HwPp6DCBHZYOuYNFwpwGZ9f7fCwrgLf1G/j5VIIRwK1FDH6AspQ1mTxTBxnjhxZ9dZjAl2&#10;lTQdXlK4bWWm1LO02HBqqNHTa03l9/7HalBq5vvt+Y22H6OdP8XRYeHCr9aPD8PLEkSkId7E/+5P&#10;oyGb59M8z7O0OV1Kd0Cu/wAAAP//AwBQSwECLQAUAAYACAAAACEA2+H2y+4AAACFAQAAEwAAAAAA&#10;AAAAAAAAAAAAAAAAW0NvbnRlbnRfVHlwZXNdLnhtbFBLAQItABQABgAIAAAAIQBa9CxbvwAAABUB&#10;AAALAAAAAAAAAAAAAAAAAB8BAABfcmVscy8ucmVsc1BLAQItABQABgAIAAAAIQCQmwf7yAAAAOIA&#10;AAAPAAAAAAAAAAAAAAAAAAcCAABkcnMvZG93bnJldi54bWxQSwUGAAAAAAMAAwC3AAAA/AIAAAAA&#10;" fillcolor="#fc6" strokecolor="white [3212]" strokeweight=".25pt">
                  <v:textbox inset="2.00228mm,2.00228mm,2.00228mm,2.00228mm">
                    <w:txbxContent>
                      <w:p w14:paraId="32F254F0" w14:textId="77777777" w:rsidR="004E6B87" w:rsidRDefault="004E6B87" w:rsidP="004E6B87">
                        <w:pPr>
                          <w:spacing w:after="92" w:line="216" w:lineRule="auto"/>
                          <w:jc w:val="center"/>
                          <w:rPr>
                            <w:rFonts w:hAnsi="Aptos"/>
                            <w:b/>
                            <w:bCs/>
                            <w:color w:val="000000" w:themeColor="text1"/>
                            <w:kern w:val="24"/>
                            <w:sz w:val="22"/>
                            <w:szCs w:val="22"/>
                          </w:rPr>
                        </w:pPr>
                        <w:r>
                          <w:rPr>
                            <w:rFonts w:hAnsi="Aptos"/>
                            <w:b/>
                            <w:bCs/>
                            <w:color w:val="000000" w:themeColor="text1"/>
                            <w:kern w:val="24"/>
                            <w:sz w:val="22"/>
                            <w:szCs w:val="22"/>
                          </w:rPr>
                          <w:t xml:space="preserve">2 </w:t>
                        </w:r>
                      </w:p>
                      <w:p w14:paraId="15B13748" w14:textId="77777777" w:rsidR="004E6B87" w:rsidRDefault="004E6B87" w:rsidP="004E6B87">
                        <w:pPr>
                          <w:spacing w:after="92" w:line="216" w:lineRule="auto"/>
                          <w:jc w:val="center"/>
                          <w:rPr>
                            <w:rFonts w:hAnsi="Aptos"/>
                            <w:b/>
                            <w:bCs/>
                            <w:color w:val="000000" w:themeColor="text1"/>
                            <w:kern w:val="24"/>
                            <w:sz w:val="22"/>
                            <w:szCs w:val="22"/>
                          </w:rPr>
                        </w:pPr>
                        <w:r>
                          <w:rPr>
                            <w:rFonts w:hAnsi="Aptos"/>
                            <w:b/>
                            <w:bCs/>
                            <w:color w:val="000000" w:themeColor="text1"/>
                            <w:kern w:val="24"/>
                            <w:sz w:val="22"/>
                            <w:szCs w:val="22"/>
                          </w:rPr>
                          <w:t>Significant</w:t>
                        </w:r>
                      </w:p>
                    </w:txbxContent>
                  </v:textbox>
                </v:rect>
                <v:shape id="Freeform: Shape 1720596332" o:spid="_x0000_s1033" style="position:absolute;left:40142;top:4247;width:4624;height:4624;visibility:visible;mso-wrap-style:square;v-text-anchor:middle" coordsize="645180,645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8YEMxwAAAOMAAAAPAAAAZHJzL2Rvd25yZXYueG1sRE9LawIx&#10;EL4L/Q9hCr1ptitquzVKKVj0UvABvY6b6WZxM1mSdN36601B8Djfe+bL3jaiIx9qxwqeRxkI4tLp&#10;misFh/1q+AIiRGSNjWNS8EcBlouHwRwL7c68pW4XK5FCOBSowMTYFlKG0pDFMHItceJ+nLcY0+kr&#10;qT2eU7htZJ5lU2mx5tRgsKUPQ+Vp92sVyK99XH+etvYyW31bPhrf+c1RqafH/v0NRKQ+3sU391qn&#10;+bM8m7xOx+Mc/n9KAMjFFQAA//8DAFBLAQItABQABgAIAAAAIQDb4fbL7gAAAIUBAAATAAAAAAAA&#10;AAAAAAAAAAAAAABbQ29udGVudF9UeXBlc10ueG1sUEsBAi0AFAAGAAgAAAAhAFr0LFu/AAAAFQEA&#10;AAsAAAAAAAAAAAAAAAAAHwEAAF9yZWxzLy5yZWxzUEsBAi0AFAAGAAgAAAAhAFXxgQzHAAAA4wAA&#10;AA8AAAAAAAAAAAAAAAAABwIAAGRycy9kb3ducmV2LnhtbFBLBQYAAAAAAwADALcAAAD7AgAAAAA=&#10;" path="m85519,132907r474142,l559661,284653r-474142,l85519,132907xm85519,360527r474142,l559661,512273r-474142,l85519,360527xe" fillcolor="#94c4bf [1940]" stroked="f" strokeweight=".25pt">
                  <v:path arrowok="t" o:connecttype="custom" o:connectlocs="61292,95255;401112,95255;401112,204012;61292,204012;61292,95255;61292,258392;401112,258392;401112,367149;61292,367149;61292,258392" o:connectangles="0,0,0,0,0,0,0,0,0,0"/>
                </v:shape>
                <v:rect id="Rectangle 1179247450" o:spid="_x0000_s1034" style="position:absolute;left:44763;top:6102;width:9904;height:51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xgAYygAAAOMAAAAPAAAAZHJzL2Rvd25yZXYueG1sRI9Bb8Iw&#10;DIXvk/gPkSftMo0UBGPrCAg2gbiOIbSj1Xht1capkoyWfz8fJnG0/fze+5brwbXqQiHWng1Mxhko&#10;4sLbmksDp6/d0wuomJAttp7JwJUirFejuyXm1vf8SZdjKpWYcMzRQJVSl2sdi4ocxrHviOX244PD&#10;JGMotQ3Yi7lr9TTLnrXDmiWhwo7eKyqa468z0HS0Kfx1v/sOzRnT9rE8fMTemIf7YfMGKtGQbuL/&#10;74OV+pPF63S2mM2FQphkAXr1BwAA//8DAFBLAQItABQABgAIAAAAIQDb4fbL7gAAAIUBAAATAAAA&#10;AAAAAAAAAAAAAAAAAABbQ29udGVudF9UeXBlc10ueG1sUEsBAi0AFAAGAAgAAAAhAFr0LFu/AAAA&#10;FQEAAAsAAAAAAAAAAAAAAAAAHwEAAF9yZWxzLy5yZWxzUEsBAi0AFAAGAAgAAAAhAJnGABjKAAAA&#10;4wAAAA8AAAAAAAAAAAAAAAAABwIAAGRycy9kb3ducmV2LnhtbFBLBQYAAAAAAwADALcAAAD+AgAA&#10;AAA=&#10;" fillcolor="#92d050" strokecolor="white [3212]" strokeweight=".25pt">
                  <v:textbox inset="2.00228mm,2.00228mm,2.00228mm,2.00228mm">
                    <w:txbxContent>
                      <w:p w14:paraId="59DD43C7" w14:textId="77777777" w:rsidR="004E6B87" w:rsidRDefault="004E6B87" w:rsidP="004E6B87">
                        <w:pPr>
                          <w:spacing w:after="92" w:line="216" w:lineRule="auto"/>
                          <w:jc w:val="center"/>
                          <w:rPr>
                            <w:rFonts w:hAnsi="Aptos"/>
                            <w:b/>
                            <w:bCs/>
                            <w:color w:val="000000" w:themeColor="text1"/>
                            <w:kern w:val="24"/>
                            <w:sz w:val="22"/>
                            <w:szCs w:val="22"/>
                          </w:rPr>
                        </w:pPr>
                        <w:r>
                          <w:rPr>
                            <w:rFonts w:hAnsi="Aptos"/>
                            <w:b/>
                            <w:bCs/>
                            <w:color w:val="000000" w:themeColor="text1"/>
                            <w:kern w:val="24"/>
                            <w:sz w:val="22"/>
                            <w:szCs w:val="22"/>
                          </w:rPr>
                          <w:t>0</w:t>
                        </w:r>
                      </w:p>
                      <w:p w14:paraId="187DFC3E" w14:textId="77777777" w:rsidR="004E6B87" w:rsidRDefault="004E6B87" w:rsidP="004E6B87">
                        <w:pPr>
                          <w:spacing w:after="92" w:line="216" w:lineRule="auto"/>
                          <w:jc w:val="center"/>
                          <w:rPr>
                            <w:rFonts w:hAnsi="Aptos"/>
                            <w:b/>
                            <w:bCs/>
                            <w:color w:val="000000" w:themeColor="text1"/>
                            <w:kern w:val="24"/>
                            <w:sz w:val="22"/>
                            <w:szCs w:val="22"/>
                          </w:rPr>
                        </w:pPr>
                        <w:r>
                          <w:rPr>
                            <w:rFonts w:hAnsi="Aptos"/>
                            <w:b/>
                            <w:bCs/>
                            <w:color w:val="000000" w:themeColor="text1"/>
                            <w:kern w:val="24"/>
                            <w:sz w:val="22"/>
                            <w:szCs w:val="22"/>
                          </w:rPr>
                          <w:t>Low</w:t>
                        </w:r>
                      </w:p>
                    </w:txbxContent>
                  </v:textbox>
                </v:rect>
                <v:rect id="Rectangle 264459590" o:spid="_x0000_s1035" style="position:absolute;left:1187;top:982;width:9907;height:50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ZIM3yQAAAOIAAAAPAAAAZHJzL2Rvd25yZXYueG1sRI/NSsNA&#10;FIX3gu8w3II7O2lIUpN2WkQQXbixLRR3l8xtkjZzJ8yMSXx7ZyG4PJw/vu1+Nr0YyfnOsoLVMgFB&#10;XFvdcaPgdHx9fALhA7LG3jIp+CEP+9393RYrbSf+pPEQGhFH2FeooA1hqKT0dUsG/dIOxNG7WGcw&#10;ROkaqR1Ocdz0Mk2SQhrsOD60ONBLS/Xt8G0UNNeLy4ev8a28HYv1RzYV4zlFpR4W8/MGRKA5/If/&#10;2u9aQVpkWV7mZYSISBEH5O4XAAD//wMAUEsBAi0AFAAGAAgAAAAhANvh9svuAAAAhQEAABMAAAAA&#10;AAAAAAAAAAAAAAAAAFtDb250ZW50X1R5cGVzXS54bWxQSwECLQAUAAYACAAAACEAWvQsW78AAAAV&#10;AQAACwAAAAAAAAAAAAAAAAAfAQAAX3JlbHMvLnJlbHNQSwECLQAUAAYACAAAACEAimSDN8kAAADi&#10;AAAADwAAAAAAAAAAAAAAAAAHAgAAZHJzL2Rvd25yZXYueG1sUEsFBgAAAAADAAMAtwAAAP0CAAAA&#10;AA==&#10;" fillcolor="#47928d" strokecolor="white [3212]" strokeweight=".25pt">
                  <v:textbox inset="2.00228mm,2.00228mm,2.00228mm,2.00228mm">
                    <w:txbxContent>
                      <w:p w14:paraId="78250EA0" w14:textId="77777777" w:rsidR="004E6B87" w:rsidRDefault="004E6B87" w:rsidP="004E6B87">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Exposure</w:t>
                        </w:r>
                      </w:p>
                    </w:txbxContent>
                  </v:textbox>
                </v:rect>
                <v:rect id="Rectangle 564878731" o:spid="_x0000_s1036" style="position:absolute;left:15712;top:982;width:9908;height:50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uhA9ywAAAOIAAAAPAAAAZHJzL2Rvd25yZXYueG1sRI/NasMw&#10;EITvhbyD2EJvjZw0sR0nSgiF0h56yQ+U3hZrY7uxVkZSbfftq0Ihx2FmvmE2u9G0oifnG8sKZtME&#10;BHFpdcOVgvPp5TEH4QOyxtYyKfghD7vt5G6DhbYDH6g/hkpECPsCFdQhdIWUvqzJoJ/ajjh6F+sM&#10;hihdJbXDIcJNK+dJkkqDDceFGjt6rqm8Hr+Ngurr4pbdZ/+6up7S7H0xpP3HHJV6uB/3axCBxnAL&#10;/7fftIJlusizPHuawd+leAfk9hcAAP//AwBQSwECLQAUAAYACAAAACEA2+H2y+4AAACFAQAAEwAA&#10;AAAAAAAAAAAAAAAAAAAAW0NvbnRlbnRfVHlwZXNdLnhtbFBLAQItABQABgAIAAAAIQBa9CxbvwAA&#10;ABUBAAALAAAAAAAAAAAAAAAAAB8BAABfcmVscy8ucmVsc1BLAQItABQABgAIAAAAIQAnuhA9ywAA&#10;AOIAAAAPAAAAAAAAAAAAAAAAAAcCAABkcnMvZG93bnJldi54bWxQSwUGAAAAAAMAAwC3AAAA/wIA&#10;AAAA&#10;" fillcolor="#47928d" strokecolor="white [3212]" strokeweight=".25pt">
                  <v:textbox inset="2.00228mm,2.00228mm,2.00228mm,2.00228mm">
                    <w:txbxContent>
                      <w:p w14:paraId="15EA2583" w14:textId="77777777" w:rsidR="004E6B87" w:rsidRDefault="004E6B87" w:rsidP="004E6B87">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Sensitivity</w:t>
                        </w:r>
                      </w:p>
                    </w:txbxContent>
                  </v:textbox>
                </v:rect>
                <v:rect id="Rectangle 911879389" o:spid="_x0000_s1037" style="position:absolute;left:30238;top:982;width:9907;height:50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8HABywAAAOIAAAAPAAAAZHJzL2Rvd25yZXYueG1sRI9BS8NA&#10;FITvQv/D8gRvdpNW0yTttpSC6MGLrSC9PbKvSWz2bdhdk/jvXUHwOMzMN8xmN5lODOR8a1lBOk9A&#10;EFdWt1wreD893ecgfEDW2FkmBd/kYbed3Wyw1HbkNxqOoRYRwr5EBU0IfSmlrxoy6Oe2J47exTqD&#10;IUpXS+1wjHDTyUWSZNJgy3GhwZ4ODVXX45dRUH9e3GN/Hp6L6ylbvT6M2fCxQKXubqf9GkSgKfyH&#10;/9ovWkGRpvmqWOYF/F6Kd0BufwAAAP//AwBQSwECLQAUAAYACAAAACEA2+H2y+4AAACFAQAAEwAA&#10;AAAAAAAAAAAAAAAAAAAAW0NvbnRlbnRfVHlwZXNdLnhtbFBLAQItABQABgAIAAAAIQBa9CxbvwAA&#10;ABUBAAALAAAAAAAAAAAAAAAAAB8BAABfcmVscy8ucmVsc1BLAQItABQABgAIAAAAIQDO8HABywAA&#10;AOIAAAAPAAAAAAAAAAAAAAAAAAcCAABkcnMvZG93bnJldi54bWxQSwUGAAAAAAMAAwC3AAAA/wIA&#10;AAAA&#10;" fillcolor="#47928d" strokecolor="white [3212]" strokeweight=".25pt">
                  <v:textbox inset="2.00228mm,2.00228mm,2.00228mm,2.00228mm">
                    <w:txbxContent>
                      <w:p w14:paraId="6FE1E85A" w14:textId="77777777" w:rsidR="004E6B87" w:rsidRDefault="004E6B87" w:rsidP="004E6B87">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Adaptive Capacity</w:t>
                        </w:r>
                      </w:p>
                    </w:txbxContent>
                  </v:textbox>
                </v:rect>
                <v:rect id="Rectangle 710884430" o:spid="_x0000_s1038" style="position:absolute;left:44763;top:982;width:9904;height:50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N5OaygAAAOIAAAAPAAAAZHJzL2Rvd25yZXYueG1sRI/LasMw&#10;EEX3hfyDmEB3jZzEdVw3SgiB0i66yQNKd4M1sZ1YIyOptvv31aKQ5eW+OOvtaFrRk/ONZQXzWQKC&#10;uLS64UrB+fT2lIPwAVlja5kU/JKH7WbysMZC24EP1B9DJeII+wIV1CF0hZS+rMmgn9mOOHoX6wyG&#10;KF0ltcMhjptWLpIkkwYbjg81drSvqbwdf4yC6npxz913//5yO2Wrz3TI+q8FKvU4HXevIAKN4R7+&#10;b39oBat5kudpuowQESnigNz8AQAA//8DAFBLAQItABQABgAIAAAAIQDb4fbL7gAAAIUBAAATAAAA&#10;AAAAAAAAAAAAAAAAAABbQ29udGVudF9UeXBlc10ueG1sUEsBAi0AFAAGAAgAAAAhAFr0LFu/AAAA&#10;FQEAAAsAAAAAAAAAAAAAAAAAHwEAAF9yZWxzLy5yZWxzUEsBAi0AFAAGAAgAAAAhAIw3k5rKAAAA&#10;4gAAAA8AAAAAAAAAAAAAAAAABwIAAGRycy9kb3ducmV2LnhtbFBLBQYAAAAAAwADALcAAAD+AgAA&#10;AAA=&#10;" fillcolor="#47928d" strokecolor="white [3212]" strokeweight=".25pt">
                  <v:textbox inset="2.00228mm,2.00228mm,2.00228mm,2.00228mm">
                    <w:txbxContent>
                      <w:p w14:paraId="1B5ED769" w14:textId="77777777" w:rsidR="004E6B87" w:rsidRDefault="004E6B87" w:rsidP="004E6B87">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Overall Vulnerability</w:t>
                        </w:r>
                      </w:p>
                    </w:txbxContent>
                  </v:textbox>
                </v:rect>
                <w10:anchorlock/>
              </v:group>
            </w:pict>
          </mc:Fallback>
        </mc:AlternateContent>
      </w:r>
    </w:p>
    <w:p w14:paraId="04E6211B" w14:textId="77777777" w:rsidR="00BB3852" w:rsidRPr="002A5E3F" w:rsidRDefault="000E4CD9" w:rsidP="00904F74">
      <w:pPr>
        <w:pStyle w:val="Heading2"/>
      </w:pPr>
      <w:r w:rsidRPr="002A5E3F">
        <w:t>Risk summary</w:t>
      </w:r>
    </w:p>
    <w:p w14:paraId="6A92988A" w14:textId="2C508B81" w:rsidR="00107BC4" w:rsidRPr="00107BC4" w:rsidRDefault="00BF135B" w:rsidP="00107BC4">
      <w:r>
        <w:t>Climate change</w:t>
      </w:r>
      <w:r w:rsidR="00107BC4">
        <w:t xml:space="preserve"> </w:t>
      </w:r>
      <w:r w:rsidR="00107BC4" w:rsidRPr="00107BC4">
        <w:t xml:space="preserve">can disrupt the production, storage, transmission and distribution of liquid and gaseous fuels. Heavy rainfall and flooding can inundate depots, damage bridges carrying pipes, expose pipelines through river erosion and obstruct </w:t>
      </w:r>
      <w:proofErr w:type="gramStart"/>
      <w:r w:rsidR="00107BC4" w:rsidRPr="00107BC4">
        <w:t>tanker</w:t>
      </w:r>
      <w:proofErr w:type="gramEnd"/>
      <w:r w:rsidR="00107BC4" w:rsidRPr="00107BC4">
        <w:t xml:space="preserve"> or emergency-response routes. Heat, drought and wildfire can affect above-ground equipment, cooling processes and ground conditions</w:t>
      </w:r>
      <w:bookmarkStart w:id="0" w:name="_Ref241684431"/>
      <w:r w:rsidR="00611A4C">
        <w:rPr>
          <w:rStyle w:val="FootnoteReference"/>
        </w:rPr>
        <w:footnoteReference w:id="2"/>
      </w:r>
      <w:bookmarkEnd w:id="0"/>
      <w:r w:rsidR="00107BC4" w:rsidRPr="00107BC4">
        <w:t>. Storms can interrupt the electricity and telecommunications on which some fuel infrastructure and operations depend.</w:t>
      </w:r>
      <w:r w:rsidR="0053426A">
        <w:rPr>
          <w:rStyle w:val="FootnoteReference"/>
        </w:rPr>
        <w:footnoteReference w:id="3"/>
      </w:r>
      <w:r w:rsidR="00107BC4" w:rsidRPr="00107BC4">
        <w:t xml:space="preserve"> The UK-wide assessment rates the risk as high, but notes that evidence is mainly qualitative and that publicly available data on individual assets and their protection is limited. </w:t>
      </w:r>
    </w:p>
    <w:p w14:paraId="2A86BBF4" w14:textId="37CC261B" w:rsidR="00860E5B" w:rsidRPr="00860E5B" w:rsidRDefault="003470C0">
      <w:pPr>
        <w:rPr>
          <w:lang w:val="en-GB"/>
        </w:rPr>
      </w:pPr>
      <w:r>
        <w:rPr>
          <w:lang w:val="en-GB"/>
        </w:rPr>
        <w:lastRenderedPageBreak/>
        <w:t>R</w:t>
      </w:r>
      <w:r w:rsidR="00860E5B" w:rsidRPr="00860E5B">
        <w:rPr>
          <w:lang w:val="en-GB"/>
        </w:rPr>
        <w:t xml:space="preserve">egional </w:t>
      </w:r>
      <w:r>
        <w:rPr>
          <w:lang w:val="en-GB"/>
        </w:rPr>
        <w:t xml:space="preserve">the </w:t>
      </w:r>
      <w:r w:rsidR="00860E5B" w:rsidRPr="00860E5B">
        <w:rPr>
          <w:lang w:val="en-GB"/>
        </w:rPr>
        <w:t xml:space="preserve">risk is changing as fossil-fuel use declines and new infrastructure develops. Planning permission was granted in April 2024 for a hydrogen-production and refuelling facility at the former </w:t>
      </w:r>
      <w:proofErr w:type="spellStart"/>
      <w:r w:rsidR="00860E5B" w:rsidRPr="00860E5B">
        <w:rPr>
          <w:lang w:val="en-GB"/>
        </w:rPr>
        <w:t>Birkshall</w:t>
      </w:r>
      <w:proofErr w:type="spellEnd"/>
      <w:r w:rsidR="00860E5B" w:rsidRPr="00860E5B">
        <w:rPr>
          <w:lang w:val="en-GB"/>
        </w:rPr>
        <w:t xml:space="preserve"> Holder Station in Bradford, incorporating electrolysers, storage, compressors, transformers, utility connections and vehicle access.</w:t>
      </w:r>
      <w:bookmarkStart w:id="1" w:name="_Ref241697046"/>
      <w:r w:rsidR="004706BD">
        <w:rPr>
          <w:rStyle w:val="FootnoteReference"/>
          <w:lang w:val="en-GB"/>
        </w:rPr>
        <w:footnoteReference w:id="4"/>
      </w:r>
      <w:bookmarkEnd w:id="1"/>
      <w:r w:rsidR="00860E5B" w:rsidRPr="00860E5B">
        <w:rPr>
          <w:lang w:val="en-GB"/>
        </w:rPr>
        <w:t xml:space="preserve"> Prior approval for the associated relocation of high-pressure above-ground gas infrastructure was granted in January 2026.</w:t>
      </w:r>
      <w:r w:rsidR="004706BD">
        <w:rPr>
          <w:lang w:val="en-GB"/>
        </w:rPr>
        <w:fldChar w:fldCharType="begin"/>
      </w:r>
      <w:r w:rsidR="004706BD">
        <w:rPr>
          <w:lang w:val="en-GB"/>
        </w:rPr>
        <w:instrText xml:space="preserve"> NOTEREF _Ref241697046 \f \h </w:instrText>
      </w:r>
      <w:r w:rsidR="004706BD">
        <w:rPr>
          <w:lang w:val="en-GB"/>
        </w:rPr>
      </w:r>
      <w:r w:rsidR="004706BD">
        <w:rPr>
          <w:lang w:val="en-GB"/>
        </w:rPr>
        <w:fldChar w:fldCharType="separate"/>
      </w:r>
      <w:r w:rsidR="00C84014" w:rsidRPr="00C84014">
        <w:rPr>
          <w:rStyle w:val="FootnoteReference"/>
          <w:lang w:val="en-GB"/>
        </w:rPr>
        <w:t>4</w:t>
      </w:r>
      <w:r w:rsidR="004706BD">
        <w:rPr>
          <w:lang w:val="en-GB"/>
        </w:rPr>
        <w:fldChar w:fldCharType="end"/>
      </w:r>
      <w:r w:rsidR="00860E5B" w:rsidRPr="00860E5B">
        <w:rPr>
          <w:lang w:val="en-GB"/>
        </w:rPr>
        <w:t xml:space="preserve"> </w:t>
      </w:r>
      <w:r w:rsidR="00FA7196">
        <w:t>The</w:t>
      </w:r>
      <w:r w:rsidR="004706BD">
        <w:t xml:space="preserve"> current West Yorkshire Climate and Environment Plan</w:t>
      </w:r>
      <w:r w:rsidR="004706BD">
        <w:rPr>
          <w:rStyle w:val="FootnoteReference"/>
        </w:rPr>
        <w:footnoteReference w:id="5"/>
      </w:r>
      <w:r w:rsidR="004706BD">
        <w:t xml:space="preserve"> </w:t>
      </w:r>
      <w:r w:rsidR="004706BD" w:rsidRPr="00107BC4">
        <w:t xml:space="preserve"> identifies hydrogen and Local Area Energy Plans as part of the region’s energy transition</w:t>
      </w:r>
      <w:r w:rsidR="00860E5B" w:rsidRPr="00107BC4">
        <w:t xml:space="preserve">. </w:t>
      </w:r>
      <w:r w:rsidR="00FA7196">
        <w:rPr>
          <w:lang w:val="en-GB"/>
        </w:rPr>
        <w:t>These create</w:t>
      </w:r>
      <w:r w:rsidR="00860E5B" w:rsidRPr="00860E5B">
        <w:rPr>
          <w:lang w:val="en-GB"/>
        </w:rPr>
        <w:t xml:space="preserve"> an opportunity to build climate resilience into the site and its utility and transport connections before operation begins.</w:t>
      </w:r>
    </w:p>
    <w:p w14:paraId="53026077" w14:textId="059A6145" w:rsidR="00BB3852" w:rsidRPr="00E60DA8" w:rsidRDefault="000E4CD9" w:rsidP="00904F74">
      <w:pPr>
        <w:pStyle w:val="Heading2"/>
      </w:pPr>
      <w:r w:rsidRPr="00E60DA8">
        <w:t xml:space="preserve">Exposure: How exposed is </w:t>
      </w:r>
      <w:r w:rsidR="00A556A1">
        <w:t xml:space="preserve">the </w:t>
      </w:r>
      <w:r w:rsidR="00A556A1" w:rsidRPr="00E60DA8">
        <w:t>West Yorkshire region</w:t>
      </w:r>
      <w:r w:rsidRPr="00E60DA8">
        <w:t xml:space="preserve"> to this risk</w:t>
      </w:r>
      <w:r w:rsidR="00AE45E1">
        <w:t>?</w:t>
      </w:r>
    </w:p>
    <w:p w14:paraId="64A0B28C" w14:textId="32E04288" w:rsidR="00266DF9" w:rsidRDefault="000E4CD9" w:rsidP="00DC40F0">
      <w:pPr>
        <w:rPr>
          <w:lang w:val="en-GB"/>
        </w:rPr>
      </w:pPr>
      <w:r w:rsidRPr="00E60DA8">
        <w:rPr>
          <w:lang w:val="en-GB"/>
        </w:rPr>
        <w:t xml:space="preserve"> </w:t>
      </w:r>
      <w:r w:rsidR="001B72EB" w:rsidRPr="001B72EB">
        <w:rPr>
          <w:noProof/>
        </w:rPr>
        <mc:AlternateContent>
          <mc:Choice Requires="wpg">
            <w:drawing>
              <wp:inline distT="0" distB="0" distL="0" distR="0" wp14:anchorId="090BF5FF" wp14:editId="497BFB80">
                <wp:extent cx="2966594" cy="445008"/>
                <wp:effectExtent l="0" t="0" r="24765" b="12700"/>
                <wp:docPr id="51" name="Group 50">
                  <a:extLst xmlns:a="http://schemas.openxmlformats.org/drawingml/2006/main">
                    <a:ext uri="{FF2B5EF4-FFF2-40B4-BE49-F238E27FC236}">
                      <a16:creationId xmlns:a16="http://schemas.microsoft.com/office/drawing/2014/main" id="{208F29CE-C3FA-1C89-7BA9-266C622344D7}"/>
                    </a:ext>
                  </a:extLst>
                </wp:docPr>
                <wp:cNvGraphicFramePr/>
                <a:graphic xmlns:a="http://schemas.openxmlformats.org/drawingml/2006/main">
                  <a:graphicData uri="http://schemas.microsoft.com/office/word/2010/wordprocessingGroup">
                    <wpg:wgp>
                      <wpg:cNvGrpSpPr/>
                      <wpg:grpSpPr>
                        <a:xfrm>
                          <a:off x="0" y="0"/>
                          <a:ext cx="2966594" cy="445008"/>
                          <a:chOff x="0" y="0"/>
                          <a:chExt cx="2966594" cy="445008"/>
                        </a:xfrm>
                      </wpg:grpSpPr>
                      <wps:wsp>
                        <wps:cNvPr id="364890441" name="Rectangle 364890441">
                          <a:extLst>
                            <a:ext uri="{FF2B5EF4-FFF2-40B4-BE49-F238E27FC236}">
                              <a16:creationId xmlns:a16="http://schemas.microsoft.com/office/drawing/2014/main" id="{4EAAC343-958B-B2CE-F35E-D8420D7CB21C}"/>
                            </a:ext>
                          </a:extLst>
                        </wps:cNvPr>
                        <wps:cNvSpPr/>
                        <wps:spPr>
                          <a:xfrm>
                            <a:off x="0" y="0"/>
                            <a:ext cx="2966594" cy="445008"/>
                          </a:xfrm>
                          <a:prstGeom prst="rect">
                            <a:avLst/>
                          </a:prstGeom>
                          <a:solidFill>
                            <a:srgbClr val="DBEBEA"/>
                          </a:solidFill>
                          <a:ln w="3175"/>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245119323" name="Rectangle 1245119323">
                          <a:extLst>
                            <a:ext uri="{FF2B5EF4-FFF2-40B4-BE49-F238E27FC236}">
                              <a16:creationId xmlns:a16="http://schemas.microsoft.com/office/drawing/2014/main" id="{12945276-0A21-C16E-B6CE-914AC55BF813}"/>
                            </a:ext>
                          </a:extLst>
                        </wps:cNvPr>
                        <wps:cNvSpPr/>
                        <wps:spPr>
                          <a:xfrm>
                            <a:off x="1495489" y="65566"/>
                            <a:ext cx="1350000" cy="313876"/>
                          </a:xfrm>
                          <a:prstGeom prst="rect">
                            <a:avLst/>
                          </a:prstGeom>
                          <a:solidFill>
                            <a:srgbClr val="FFCC66"/>
                          </a:solidFill>
                          <a:ln w="3175">
                            <a:solidFill>
                              <a:schemeClr val="bg1"/>
                            </a:solidFill>
                          </a:ln>
                        </wps:spPr>
                        <wps:style>
                          <a:lnRef idx="3">
                            <a:schemeClr val="lt1"/>
                          </a:lnRef>
                          <a:fillRef idx="1">
                            <a:schemeClr val="accent2"/>
                          </a:fillRef>
                          <a:effectRef idx="1">
                            <a:schemeClr val="accent2"/>
                          </a:effectRef>
                          <a:fontRef idx="minor">
                            <a:schemeClr val="lt1"/>
                          </a:fontRef>
                        </wps:style>
                        <wps:txbx>
                          <w:txbxContent>
                            <w:p w14:paraId="728B6AFF" w14:textId="77777777" w:rsidR="001B72EB" w:rsidRDefault="001B72EB" w:rsidP="001B72EB">
                              <w:pPr>
                                <w:spacing w:after="92" w:line="216" w:lineRule="auto"/>
                                <w:jc w:val="center"/>
                                <w:rPr>
                                  <w:rFonts w:hAnsi="Aptos"/>
                                  <w:b/>
                                  <w:bCs/>
                                  <w:color w:val="000000" w:themeColor="text1"/>
                                  <w:kern w:val="24"/>
                                  <w:sz w:val="22"/>
                                  <w:szCs w:val="22"/>
                                </w:rPr>
                              </w:pPr>
                              <w:r>
                                <w:rPr>
                                  <w:rFonts w:hAnsi="Aptos"/>
                                  <w:b/>
                                  <w:bCs/>
                                  <w:color w:val="000000" w:themeColor="text1"/>
                                  <w:kern w:val="24"/>
                                  <w:sz w:val="22"/>
                                  <w:szCs w:val="22"/>
                                </w:rPr>
                                <w:t>Moderate</w:t>
                              </w:r>
                            </w:p>
                          </w:txbxContent>
                        </wps:txbx>
                        <wps:bodyPr spcFirstLastPara="0" vert="horz" wrap="square" lIns="72082" tIns="72082" rIns="72082" bIns="72082" numCol="1" spcCol="1270" anchor="ctr" anchorCtr="0">
                          <a:noAutofit/>
                        </wps:bodyPr>
                      </wps:wsp>
                      <wps:wsp>
                        <wps:cNvPr id="2044254562" name="Rectangle 2044254562">
                          <a:extLst>
                            <a:ext uri="{FF2B5EF4-FFF2-40B4-BE49-F238E27FC236}">
                              <a16:creationId xmlns:a16="http://schemas.microsoft.com/office/drawing/2014/main" id="{1897C7C7-F6BE-FB4D-62F6-A0847ACFE42B}"/>
                            </a:ext>
                          </a:extLst>
                        </wps:cNvPr>
                        <wps:cNvSpPr/>
                        <wps:spPr>
                          <a:xfrm>
                            <a:off x="103405" y="65566"/>
                            <a:ext cx="1351381" cy="313876"/>
                          </a:xfrm>
                          <a:prstGeom prst="rect">
                            <a:avLst/>
                          </a:prstGeom>
                          <a:solidFill>
                            <a:srgbClr val="47928D"/>
                          </a:solidFill>
                          <a:ln w="3175">
                            <a:solidFill>
                              <a:schemeClr val="bg1"/>
                            </a:solidFill>
                          </a:ln>
                        </wps:spPr>
                        <wps:style>
                          <a:lnRef idx="3">
                            <a:schemeClr val="lt1"/>
                          </a:lnRef>
                          <a:fillRef idx="1">
                            <a:schemeClr val="accent2"/>
                          </a:fillRef>
                          <a:effectRef idx="1">
                            <a:schemeClr val="accent2"/>
                          </a:effectRef>
                          <a:fontRef idx="minor">
                            <a:schemeClr val="lt1"/>
                          </a:fontRef>
                        </wps:style>
                        <wps:txbx>
                          <w:txbxContent>
                            <w:p w14:paraId="061FC8EA" w14:textId="77777777" w:rsidR="001B72EB" w:rsidRDefault="001B72EB" w:rsidP="001B72EB">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Exposure</w:t>
                              </w:r>
                            </w:p>
                          </w:txbxContent>
                        </wps:txbx>
                        <wps:bodyPr spcFirstLastPara="0" vert="horz" wrap="square" lIns="72082" tIns="72082" rIns="72082" bIns="72082" numCol="1" spcCol="1270" anchor="ctr" anchorCtr="0">
                          <a:noAutofit/>
                        </wps:bodyPr>
                      </wps:wsp>
                    </wpg:wgp>
                  </a:graphicData>
                </a:graphic>
              </wp:inline>
            </w:drawing>
          </mc:Choice>
          <mc:Fallback>
            <w:pict>
              <v:group w14:anchorId="090BF5FF" id="Group 50" o:spid="_x0000_s1039" style="width:233.6pt;height:35.05pt;mso-position-horizontal-relative:char;mso-position-vertical-relative:line" coordsize="29665,4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rUB/ZgMAAGcMAAAOAAAAZHJzL2Uyb0RvYy54bWzsV2tP2zAU/T5p/8Hy95FHk75Ei6ClaNK0&#10;Idh+gOs4D8mxM9slZb9+106apoA6AQNp0r6kcez7Oj7n2j0925Yc3TGlCylmODjxMWKCyqQQ2Qz/&#10;+L76NMZIGyISwqVgM3zPND6bf/xwWldTFspc8oQpBE6EntbVDOfGVFPP0zRnJdEnsmICJlOpSmJg&#10;qDIvUaQG7yX3Qt8ferVUSaUkZVrD12UziefOf5oyar6lqWYG8RmG3Ix7Kvdc26c3PyXTTJEqL2ib&#10;BnlBFiUpBATtXC2JIWijikeuyoIqqWVqTqgsPZmmBWWuBqgm8B9Uc6XkpnK1ZNM6qzqYANoHOL3Y&#10;Lf16d6Wq2+paARJ1lQEWbmRr2aaqtL+QJdo6yO47yNjWIAofw8lwGE8ijCjMRVHs++MGU5oD8I/M&#10;aH553NDbhfUOkqkroIfeI6Bfh8BtTirmgNVTQOBaoSKZ4cEwGk/8KAowEqQEst4AfYjIOEP7KQeT&#10;s+pA01MN+L0Ssa5wMq2UNldMlsi+zLCCLBy3yN0XbSA+LN0tsUG15EWyKjh3A5WtF1yhOwKEX15c&#10;Xlye2/0Ak4NlXKAaCg5GsZu18DY1uDdzz5l1xsUNSwEau88uAydL1vknlDJhgmYqJwlrwgbAAqcs&#10;G9UK2Vq4HJxD6zmFdDvfrYPdysbJzneTfLvemjKn6s7YP5ZYY9xZuMhSmM64LIRUTzngUFUbuVkP&#10;6fegsa9rmdwDcZThC9k0FyJoLqG3UKM6VIG0VlfvwN4gjOIgmAzCwWP69uagKpsOsP7P/A2iSQyS&#10;wAi0PYzj4dCWBTvQSjgY2I2Grmq1PwgG45Fb8BZMXq0Wiyb8ESbb3A5Y3pGvodQ6221qbxX442K3&#10;u07GvX0+kMDgOFGeze1wx7BGC09w+4gwdsZvw22zXW9dS3TNvMd2XdFVAV3pC9Hmmig4KmH74fiH&#10;NgXU/4VRDUfpDOufG6IYRvyzgE49Cv1xCGdvf6D6g3V/IDalExR0YYjWvIYjCNOXVztYGHeUW+iE&#10;PN8YmRauQe4zbnf2/WQYwgESxlE8hIofniK9uWfJ0B9EfnxEhSA9QOvtVRiNJuF42dK2pyErk+48&#10;+a/Cv3XCdCqcWMj3nLa6+HdV6C52cJt1F4L25m2vy/2xU+3+/8H8NwAAAP//AwBQSwMEFAAGAAgA&#10;AAAhAJdYyUHdAAAABAEAAA8AAABkcnMvZG93bnJldi54bWxMj09rwkAQxe+FfodlCr3VTbRVidmI&#10;iO1JCv6B0tuYHZNgdjZk1yR++257qZeBx3u895t0OZhadNS6yrKCeBSBIM6trrhQcDy8v8xBOI+s&#10;sbZMCm7kYJk9PqSYaNvzjrq9L0QoYZeggtL7JpHS5SUZdCPbEAfvbFuDPsi2kLrFPpSbWo6jaCoN&#10;VhwWSmxoXVJ+2V+Ngo8e+9Uk3nTby3l9+z68fX5tY1Lq+WlYLUB4Gvx/GH7xAzpkgelkr6ydqBWE&#10;R/zfDd7rdDYGcVIwi2KQWSrv4bMfAAAA//8DAFBLAQItABQABgAIAAAAIQC2gziS/gAAAOEBAAAT&#10;AAAAAAAAAAAAAAAAAAAAAABbQ29udGVudF9UeXBlc10ueG1sUEsBAi0AFAAGAAgAAAAhADj9If/W&#10;AAAAlAEAAAsAAAAAAAAAAAAAAAAALwEAAF9yZWxzLy5yZWxzUEsBAi0AFAAGAAgAAAAhABGtQH9m&#10;AwAAZwwAAA4AAAAAAAAAAAAAAAAALgIAAGRycy9lMm9Eb2MueG1sUEsBAi0AFAAGAAgAAAAhAJdY&#10;yUHdAAAABAEAAA8AAAAAAAAAAAAAAAAAwAUAAGRycy9kb3ducmV2LnhtbFBLBQYAAAAABAAEAPMA&#10;AADKBgAAAAA=&#10;">
                <v:rect id="Rectangle 364890441" o:spid="_x0000_s1040" style="position:absolute;width:29665;height:44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3yt1yAAAAOIAAAAPAAAAZHJzL2Rvd25yZXYueG1sRI9fS8Qw&#10;EMTfBb9DWME3Lz1bjrt6uUMEpeCT9+d9bdak2GxKs17rtzeC4OMwM79htvs59OpCY+oiG1guClDE&#10;bbQdOwOn4/PdGlQSZIt9ZDLwTQn2u+urLdY2TvxGl4M4lSGcajTgRYZa69R6CpgWcSDO3kccA0qW&#10;o9N2xCnDQ6/vi2KlA3acFzwO9OSp/Tx8BQOdlO2rnzbvL+fy1ETXOPHHyZjbm/nxAZTQLP/hv3Zj&#10;DZSrar0pqmoJv5fyHdC7HwAAAP//AwBQSwECLQAUAAYACAAAACEA2+H2y+4AAACFAQAAEwAAAAAA&#10;AAAAAAAAAAAAAAAAW0NvbnRlbnRfVHlwZXNdLnhtbFBLAQItABQABgAIAAAAIQBa9CxbvwAAABUB&#10;AAALAAAAAAAAAAAAAAAAAB8BAABfcmVscy8ucmVsc1BLAQItABQABgAIAAAAIQDT3yt1yAAAAOIA&#10;AAAPAAAAAAAAAAAAAAAAAAcCAABkcnMvZG93bnJldi54bWxQSwUGAAAAAAMAAwC3AAAA/AIAAAAA&#10;" fillcolor="#dbebea" strokecolor="#0c1615 [484]" strokeweight=".25pt"/>
                <v:rect id="Rectangle 1245119323" o:spid="_x0000_s1041" style="position:absolute;left:14954;top:655;width:13500;height:31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j3ZUyQAAAOMAAAAPAAAAZHJzL2Rvd25yZXYueG1sRE9PT8Iw&#10;FL+b8B2aZ+KFQLuhKJNCjFHDiSh48PiyPraF9bVZ65h+ekpi4vH9/r/lerCt6KkLjWMN2VSBIC6d&#10;abjS8Ll/nTyACBHZYOuYNPxQgPVqdLXEwrgTf1C/i5VIIRwK1FDH6AspQ1mTxTB1njhxB9dZjOns&#10;Kmk6PKVw28pcqbm02HBqqNHTc03lcfdtNSh17/vt4YW2b+N3/xXH+4ULv1rfXA9PjyAiDfFf/Ofe&#10;mDQ/v73LssUsn8HlpwSAXJ0BAAD//wMAUEsBAi0AFAAGAAgAAAAhANvh9svuAAAAhQEAABMAAAAA&#10;AAAAAAAAAAAAAAAAAFtDb250ZW50X1R5cGVzXS54bWxQSwECLQAUAAYACAAAACEAWvQsW78AAAAV&#10;AQAACwAAAAAAAAAAAAAAAAAfAQAAX3JlbHMvLnJlbHNQSwECLQAUAAYACAAAACEABI92VMkAAADj&#10;AAAADwAAAAAAAAAAAAAAAAAHAgAAZHJzL2Rvd25yZXYueG1sUEsFBgAAAAADAAMAtwAAAP0CAAAA&#10;AA==&#10;" fillcolor="#fc6" strokecolor="white [3212]" strokeweight=".25pt">
                  <v:textbox inset="2.00228mm,2.00228mm,2.00228mm,2.00228mm">
                    <w:txbxContent>
                      <w:p w14:paraId="728B6AFF" w14:textId="77777777" w:rsidR="001B72EB" w:rsidRDefault="001B72EB" w:rsidP="001B72EB">
                        <w:pPr>
                          <w:spacing w:after="92" w:line="216" w:lineRule="auto"/>
                          <w:jc w:val="center"/>
                          <w:rPr>
                            <w:rFonts w:hAnsi="Aptos"/>
                            <w:b/>
                            <w:bCs/>
                            <w:color w:val="000000" w:themeColor="text1"/>
                            <w:kern w:val="24"/>
                            <w:sz w:val="22"/>
                            <w:szCs w:val="22"/>
                          </w:rPr>
                        </w:pPr>
                        <w:r>
                          <w:rPr>
                            <w:rFonts w:hAnsi="Aptos"/>
                            <w:b/>
                            <w:bCs/>
                            <w:color w:val="000000" w:themeColor="text1"/>
                            <w:kern w:val="24"/>
                            <w:sz w:val="22"/>
                            <w:szCs w:val="22"/>
                          </w:rPr>
                          <w:t>Moderate</w:t>
                        </w:r>
                      </w:p>
                    </w:txbxContent>
                  </v:textbox>
                </v:rect>
                <v:rect id="Rectangle 2044254562" o:spid="_x0000_s1042" style="position:absolute;left:1034;top:655;width:13513;height:31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SCJTywAAAOMAAAAPAAAAZHJzL2Rvd25yZXYueG1sRI9BS8NA&#10;FITvgv9heQVvdtMlSTV2W0QQPXixLYi3R/Y1ic2+DbtrEv+9Kwg9DjPzDbPZzbYXI/nQOdawWmYg&#10;iGtnOm40HA/Pt3cgQkQ22DsmDT8UYLe9vtpgZdzE7zTuYyMShEOFGtoYh0rKULdkMSzdQJy8k/MW&#10;Y5K+kcbjlOC2lyrLSmmx47TQ4kBPLdXn/bfV0HydfDF8ji/350O5fsuncvxQqPXNYn58ABFpjpfw&#10;f/vVaFBZnqsiL0oFf5/SH5DbXwAAAP//AwBQSwECLQAUAAYACAAAACEA2+H2y+4AAACFAQAAEwAA&#10;AAAAAAAAAAAAAAAAAAAAW0NvbnRlbnRfVHlwZXNdLnhtbFBLAQItABQABgAIAAAAIQBa9CxbvwAA&#10;ABUBAAALAAAAAAAAAAAAAAAAAB8BAABfcmVscy8ucmVsc1BLAQItABQABgAIAAAAIQA4SCJTywAA&#10;AOMAAAAPAAAAAAAAAAAAAAAAAAcCAABkcnMvZG93bnJldi54bWxQSwUGAAAAAAMAAwC3AAAA/wIA&#10;AAAA&#10;" fillcolor="#47928d" strokecolor="white [3212]" strokeweight=".25pt">
                  <v:textbox inset="2.00228mm,2.00228mm,2.00228mm,2.00228mm">
                    <w:txbxContent>
                      <w:p w14:paraId="061FC8EA" w14:textId="77777777" w:rsidR="001B72EB" w:rsidRDefault="001B72EB" w:rsidP="001B72EB">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Exposure</w:t>
                        </w:r>
                      </w:p>
                    </w:txbxContent>
                  </v:textbox>
                </v:rect>
                <w10:anchorlock/>
              </v:group>
            </w:pict>
          </mc:Fallback>
        </mc:AlternateContent>
      </w:r>
    </w:p>
    <w:p w14:paraId="48CFF91E" w14:textId="2E043353" w:rsidR="00F6480F" w:rsidRPr="00F6480F" w:rsidRDefault="00F6480F" w:rsidP="00F6480F">
      <w:r w:rsidRPr="00F6480F">
        <w:t>Fuel supply is a region-wide service, but direct exposure to climate hazards is likely to be concentrated around river and surface-water flood zones, watercourse crossings, above-ground pressure-control equipment, transport corridors and access routes</w:t>
      </w:r>
      <w:r w:rsidR="004358A1">
        <w:rPr>
          <w:rStyle w:val="FootnoteReference"/>
        </w:rPr>
        <w:footnoteReference w:id="6"/>
      </w:r>
      <w:r w:rsidRPr="00F6480F">
        <w:t>.</w:t>
      </w:r>
    </w:p>
    <w:p w14:paraId="6D94CBA3" w14:textId="60652F53" w:rsidR="00F6480F" w:rsidRPr="00F6480F" w:rsidRDefault="007D470D" w:rsidP="00F6480F">
      <w:r>
        <w:rPr>
          <w:noProof/>
        </w:rPr>
        <w:drawing>
          <wp:anchor distT="0" distB="0" distL="114300" distR="114300" simplePos="0" relativeHeight="251658240" behindDoc="0" locked="0" layoutInCell="1" allowOverlap="1" wp14:anchorId="0EB784C7" wp14:editId="58074F2B">
            <wp:simplePos x="0" y="0"/>
            <wp:positionH relativeFrom="column">
              <wp:posOffset>2392680</wp:posOffset>
            </wp:positionH>
            <wp:positionV relativeFrom="paragraph">
              <wp:posOffset>881380</wp:posOffset>
            </wp:positionV>
            <wp:extent cx="3223260" cy="1965960"/>
            <wp:effectExtent l="0" t="0" r="0" b="0"/>
            <wp:wrapSquare wrapText="bothSides"/>
            <wp:docPr id="1230682565"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0682565" name="Picture 1230682565"/>
                    <pic:cNvPicPr/>
                  </pic:nvPicPr>
                  <pic:blipFill rotWithShape="1">
                    <a:blip r:embed="rId11" cstate="print">
                      <a:extLst>
                        <a:ext uri="{28A0092B-C50C-407E-A947-70E740481C1C}">
                          <a14:useLocalDpi xmlns:a14="http://schemas.microsoft.com/office/drawing/2010/main" val="0"/>
                        </a:ext>
                      </a:extLst>
                    </a:blip>
                    <a:srcRect l="12175" t="12046" r="10962" b="3961"/>
                    <a:stretch>
                      <a:fillRect/>
                    </a:stretch>
                  </pic:blipFill>
                  <pic:spPr bwMode="auto">
                    <a:xfrm>
                      <a:off x="0" y="0"/>
                      <a:ext cx="3223260" cy="19659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6480F" w:rsidRPr="00F6480F">
        <w:t xml:space="preserve">Local flood evidence </w:t>
      </w:r>
      <w:r w:rsidR="007E7060">
        <w:t xml:space="preserve">indicates </w:t>
      </w:r>
      <w:r w:rsidR="00F6480F" w:rsidRPr="00F6480F">
        <w:t>exposure across West Yorkshire, although it does not identify which fuel assets are affected.</w:t>
      </w:r>
      <w:r w:rsidR="00E16252">
        <w:t xml:space="preserve"> Flood exposure is likely to be higher in river valleys, low-lying urban areas and locations affected by surface-water runoff. </w:t>
      </w:r>
      <w:r w:rsidR="00E16252" w:rsidRPr="00835636">
        <w:rPr>
          <w:lang w:val="en-GB"/>
        </w:rPr>
        <w:t>Calderdale has steep, rapidly responding catchments and a long history of river and surface-water flooding</w:t>
      </w:r>
      <w:bookmarkStart w:id="2" w:name="_Ref241579864"/>
      <w:r w:rsidR="00E16252">
        <w:rPr>
          <w:rStyle w:val="FootnoteReference"/>
          <w:lang w:val="en-GB"/>
        </w:rPr>
        <w:footnoteReference w:id="7"/>
      </w:r>
      <w:bookmarkEnd w:id="2"/>
      <w:r w:rsidR="00E16252" w:rsidRPr="00835636">
        <w:rPr>
          <w:lang w:val="en-GB"/>
        </w:rPr>
        <w:t>. Leeds has exposed river corridors, urban surface-water hotspots and ageing drainage networks</w:t>
      </w:r>
      <w:bookmarkStart w:id="3" w:name="_Ref241579866"/>
      <w:r w:rsidR="00E16252">
        <w:rPr>
          <w:rStyle w:val="FootnoteReference"/>
          <w:lang w:val="en-GB"/>
        </w:rPr>
        <w:footnoteReference w:id="8"/>
      </w:r>
      <w:bookmarkEnd w:id="3"/>
      <w:r w:rsidR="00E16252" w:rsidRPr="00835636">
        <w:rPr>
          <w:lang w:val="en-GB"/>
        </w:rPr>
        <w:t xml:space="preserve">. </w:t>
      </w:r>
      <w:r w:rsidR="00F6480F" w:rsidRPr="00F6480F">
        <w:t>Wakefield’s strategy identifies exposure of utilities, infrastructure and primary highway routes during major floods.</w:t>
      </w:r>
      <w:bookmarkStart w:id="4" w:name="_Ref241697777"/>
      <w:r w:rsidR="00D25175">
        <w:rPr>
          <w:rStyle w:val="FootnoteReference"/>
        </w:rPr>
        <w:footnoteReference w:id="9"/>
      </w:r>
      <w:bookmarkEnd w:id="4"/>
      <w:r w:rsidR="00F6480F" w:rsidRPr="00F6480F">
        <w:t xml:space="preserve">  Comparable evidence for Bradford</w:t>
      </w:r>
      <w:bookmarkStart w:id="5" w:name="_Ref241697769"/>
      <w:r w:rsidR="009E1FD8">
        <w:rPr>
          <w:rStyle w:val="FootnoteReference"/>
        </w:rPr>
        <w:footnoteReference w:id="10"/>
      </w:r>
      <w:bookmarkEnd w:id="5"/>
      <w:r w:rsidR="00F6480F" w:rsidRPr="00F6480F">
        <w:t xml:space="preserve"> and Kirklees</w:t>
      </w:r>
      <w:bookmarkStart w:id="6" w:name="_Ref241697772"/>
      <w:r w:rsidR="009E1FD8">
        <w:rPr>
          <w:rStyle w:val="FootnoteReference"/>
        </w:rPr>
        <w:footnoteReference w:id="11"/>
      </w:r>
      <w:bookmarkEnd w:id="6"/>
      <w:r w:rsidR="00F6480F" w:rsidRPr="00F6480F">
        <w:t xml:space="preserve"> confirms that rapid-response catchments, surface water and river flooding affect infrastructure and transport access in those districts. </w:t>
      </w:r>
    </w:p>
    <w:p w14:paraId="005520F5" w14:textId="24D56DC7" w:rsidR="00F6480F" w:rsidRPr="00F6480F" w:rsidRDefault="00F6480F" w:rsidP="00F6480F">
      <w:r w:rsidRPr="00F6480F">
        <w:lastRenderedPageBreak/>
        <w:t xml:space="preserve">The strongest local operational evidence relates to the gas network. </w:t>
      </w:r>
      <w:r w:rsidR="009E1FD8">
        <w:t>S</w:t>
      </w:r>
      <w:r w:rsidR="00FA7196">
        <w:t>ector s</w:t>
      </w:r>
      <w:r w:rsidR="009E1FD8">
        <w:t xml:space="preserve">takeholders </w:t>
      </w:r>
      <w:r w:rsidR="00D819B6">
        <w:t xml:space="preserve">note that </w:t>
      </w:r>
      <w:r w:rsidRPr="00F6480F">
        <w:t xml:space="preserve">West Yorkshire’s network </w:t>
      </w:r>
      <w:r w:rsidR="00BB5B43">
        <w:t>i</w:t>
      </w:r>
      <w:r w:rsidRPr="00F6480F">
        <w:t>s broadly stable and did not identify a</w:t>
      </w:r>
      <w:r w:rsidR="00FA7196">
        <w:t>ny</w:t>
      </w:r>
      <w:r w:rsidRPr="00F6480F">
        <w:t xml:space="preserve"> specific local asset hotspot</w:t>
      </w:r>
      <w:r w:rsidR="00FA7196">
        <w:t>s</w:t>
      </w:r>
      <w:r w:rsidRPr="00F6480F">
        <w:t xml:space="preserve">. However, </w:t>
      </w:r>
      <w:r w:rsidR="00540428">
        <w:t xml:space="preserve">they did identify </w:t>
      </w:r>
      <w:r w:rsidRPr="00F6480F">
        <w:t xml:space="preserve">more difficult emergency access in the western Pennine areas because of flash flooding, narrow valleys and steep roads. </w:t>
      </w:r>
      <w:r w:rsidR="00540428">
        <w:t>They</w:t>
      </w:r>
      <w:r w:rsidRPr="00F6480F">
        <w:t xml:space="preserve"> also identified dependencies on electricity, telecommunications and accessible roads.</w:t>
      </w:r>
      <w:bookmarkStart w:id="7" w:name="_Ref241684655"/>
      <w:r w:rsidR="00400A94">
        <w:rPr>
          <w:rStyle w:val="FootnoteReference"/>
        </w:rPr>
        <w:footnoteReference w:id="12"/>
      </w:r>
      <w:bookmarkEnd w:id="7"/>
      <w:r w:rsidRPr="00F6480F">
        <w:t xml:space="preserve"> </w:t>
      </w:r>
    </w:p>
    <w:p w14:paraId="5A20D5D6" w14:textId="48A71596" w:rsidR="00BB3852" w:rsidRPr="00FA7196" w:rsidRDefault="00E719C3">
      <w:r>
        <w:t>No data was identified that would enable the mapping of West Yorkshire’s</w:t>
      </w:r>
      <w:r w:rsidR="00F6480F" w:rsidRPr="00F6480F">
        <w:t xml:space="preserve"> fuel depots, filling stations, pipelines, hydrogen assets or pressure-control sites against climate hazards. </w:t>
      </w:r>
    </w:p>
    <w:p w14:paraId="504F799A" w14:textId="41B3133B" w:rsidR="00BB3852" w:rsidRDefault="000E4CD9" w:rsidP="00A76A16">
      <w:pPr>
        <w:pStyle w:val="Heading2"/>
      </w:pPr>
      <w:r w:rsidRPr="00E60DA8">
        <w:t>Sensitivity: How significant could this risk be for the West Yorkshire region</w:t>
      </w:r>
      <w:r w:rsidR="00AE45E1">
        <w:t>?</w:t>
      </w:r>
    </w:p>
    <w:p w14:paraId="1B95CF29" w14:textId="334C1F32" w:rsidR="00A76A16" w:rsidRPr="00904F74" w:rsidRDefault="00D65012" w:rsidP="00904F74">
      <w:pPr>
        <w:rPr>
          <w:lang w:val="en-GB" w:eastAsia="en-US"/>
        </w:rPr>
      </w:pPr>
      <w:r w:rsidRPr="00D65012">
        <w:rPr>
          <w:noProof/>
          <w:lang w:eastAsia="en-US"/>
        </w:rPr>
        <mc:AlternateContent>
          <mc:Choice Requires="wpg">
            <w:drawing>
              <wp:inline distT="0" distB="0" distL="0" distR="0" wp14:anchorId="0305403F" wp14:editId="23BF541A">
                <wp:extent cx="2966594" cy="445008"/>
                <wp:effectExtent l="0" t="0" r="24765" b="12700"/>
                <wp:docPr id="8" name="Group 7">
                  <a:extLst xmlns:a="http://schemas.openxmlformats.org/drawingml/2006/main">
                    <a:ext uri="{FF2B5EF4-FFF2-40B4-BE49-F238E27FC236}">
                      <a16:creationId xmlns:a16="http://schemas.microsoft.com/office/drawing/2014/main" id="{680695E2-7E26-6CDE-9917-32CD6E8A76E3}"/>
                    </a:ext>
                  </a:extLst>
                </wp:docPr>
                <wp:cNvGraphicFramePr/>
                <a:graphic xmlns:a="http://schemas.openxmlformats.org/drawingml/2006/main">
                  <a:graphicData uri="http://schemas.microsoft.com/office/word/2010/wordprocessingGroup">
                    <wpg:wgp>
                      <wpg:cNvGrpSpPr/>
                      <wpg:grpSpPr>
                        <a:xfrm>
                          <a:off x="0" y="0"/>
                          <a:ext cx="2966594" cy="445008"/>
                          <a:chOff x="0" y="0"/>
                          <a:chExt cx="2966594" cy="445008"/>
                        </a:xfrm>
                      </wpg:grpSpPr>
                      <wps:wsp>
                        <wps:cNvPr id="317397076" name="Rectangle 317397076">
                          <a:extLst>
                            <a:ext uri="{FF2B5EF4-FFF2-40B4-BE49-F238E27FC236}">
                              <a16:creationId xmlns:a16="http://schemas.microsoft.com/office/drawing/2014/main" id="{FFC3D965-F7D5-D685-D76D-ED4E7EF3C215}"/>
                            </a:ext>
                          </a:extLst>
                        </wps:cNvPr>
                        <wps:cNvSpPr/>
                        <wps:spPr>
                          <a:xfrm>
                            <a:off x="0" y="0"/>
                            <a:ext cx="2966594" cy="445008"/>
                          </a:xfrm>
                          <a:prstGeom prst="rect">
                            <a:avLst/>
                          </a:prstGeom>
                          <a:solidFill>
                            <a:srgbClr val="DBEBEA"/>
                          </a:solidFill>
                          <a:ln w="3175"/>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672912444" name="Rectangle 1672912444">
                          <a:extLst>
                            <a:ext uri="{FF2B5EF4-FFF2-40B4-BE49-F238E27FC236}">
                              <a16:creationId xmlns:a16="http://schemas.microsoft.com/office/drawing/2014/main" id="{4080A9C4-CA37-4881-1299-3B961DCBABE1}"/>
                            </a:ext>
                          </a:extLst>
                        </wps:cNvPr>
                        <wps:cNvSpPr/>
                        <wps:spPr>
                          <a:xfrm>
                            <a:off x="1495489" y="65566"/>
                            <a:ext cx="1350000" cy="313876"/>
                          </a:xfrm>
                          <a:prstGeom prst="rect">
                            <a:avLst/>
                          </a:prstGeom>
                          <a:solidFill>
                            <a:srgbClr val="FFCC66"/>
                          </a:solidFill>
                          <a:ln w="3175">
                            <a:solidFill>
                              <a:schemeClr val="bg1"/>
                            </a:solidFill>
                          </a:ln>
                        </wps:spPr>
                        <wps:style>
                          <a:lnRef idx="3">
                            <a:schemeClr val="lt1"/>
                          </a:lnRef>
                          <a:fillRef idx="1">
                            <a:schemeClr val="accent2"/>
                          </a:fillRef>
                          <a:effectRef idx="1">
                            <a:schemeClr val="accent2"/>
                          </a:effectRef>
                          <a:fontRef idx="minor">
                            <a:schemeClr val="lt1"/>
                          </a:fontRef>
                        </wps:style>
                        <wps:txbx>
                          <w:txbxContent>
                            <w:p w14:paraId="26A13EF4" w14:textId="77777777" w:rsidR="00D65012" w:rsidRDefault="00D65012" w:rsidP="00D65012">
                              <w:pPr>
                                <w:spacing w:after="92" w:line="216" w:lineRule="auto"/>
                                <w:jc w:val="center"/>
                                <w:rPr>
                                  <w:rFonts w:hAnsi="Aptos"/>
                                  <w:b/>
                                  <w:bCs/>
                                  <w:color w:val="000000" w:themeColor="text1"/>
                                  <w:kern w:val="24"/>
                                  <w:sz w:val="22"/>
                                  <w:szCs w:val="22"/>
                                </w:rPr>
                              </w:pPr>
                              <w:r>
                                <w:rPr>
                                  <w:rFonts w:hAnsi="Aptos"/>
                                  <w:b/>
                                  <w:bCs/>
                                  <w:color w:val="000000" w:themeColor="text1"/>
                                  <w:kern w:val="24"/>
                                  <w:sz w:val="22"/>
                                  <w:szCs w:val="22"/>
                                </w:rPr>
                                <w:t>Moderate</w:t>
                              </w:r>
                            </w:p>
                          </w:txbxContent>
                        </wps:txbx>
                        <wps:bodyPr spcFirstLastPara="0" vert="horz" wrap="square" lIns="72082" tIns="72082" rIns="72082" bIns="72082" numCol="1" spcCol="1270" anchor="ctr" anchorCtr="0">
                          <a:noAutofit/>
                        </wps:bodyPr>
                      </wps:wsp>
                      <wps:wsp>
                        <wps:cNvPr id="213361738" name="Rectangle 213361738">
                          <a:extLst>
                            <a:ext uri="{FF2B5EF4-FFF2-40B4-BE49-F238E27FC236}">
                              <a16:creationId xmlns:a16="http://schemas.microsoft.com/office/drawing/2014/main" id="{ABF5C5C1-4DDB-8D70-B8FE-9E4C7A18F9AD}"/>
                            </a:ext>
                          </a:extLst>
                        </wps:cNvPr>
                        <wps:cNvSpPr/>
                        <wps:spPr>
                          <a:xfrm>
                            <a:off x="103405" y="65566"/>
                            <a:ext cx="1351381" cy="313876"/>
                          </a:xfrm>
                          <a:prstGeom prst="rect">
                            <a:avLst/>
                          </a:prstGeom>
                          <a:solidFill>
                            <a:srgbClr val="47928D"/>
                          </a:solidFill>
                          <a:ln w="3175">
                            <a:solidFill>
                              <a:schemeClr val="bg1"/>
                            </a:solidFill>
                          </a:ln>
                        </wps:spPr>
                        <wps:style>
                          <a:lnRef idx="3">
                            <a:schemeClr val="lt1"/>
                          </a:lnRef>
                          <a:fillRef idx="1">
                            <a:schemeClr val="accent2"/>
                          </a:fillRef>
                          <a:effectRef idx="1">
                            <a:schemeClr val="accent2"/>
                          </a:effectRef>
                          <a:fontRef idx="minor">
                            <a:schemeClr val="lt1"/>
                          </a:fontRef>
                        </wps:style>
                        <wps:txbx>
                          <w:txbxContent>
                            <w:p w14:paraId="12F8EC83" w14:textId="77777777" w:rsidR="00D65012" w:rsidRDefault="00D65012" w:rsidP="00D65012">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Sensitivity</w:t>
                              </w:r>
                            </w:p>
                          </w:txbxContent>
                        </wps:txbx>
                        <wps:bodyPr spcFirstLastPara="0" vert="horz" wrap="square" lIns="72082" tIns="72082" rIns="72082" bIns="72082" numCol="1" spcCol="1270" anchor="ctr" anchorCtr="0">
                          <a:noAutofit/>
                        </wps:bodyPr>
                      </wps:wsp>
                    </wpg:wgp>
                  </a:graphicData>
                </a:graphic>
              </wp:inline>
            </w:drawing>
          </mc:Choice>
          <mc:Fallback>
            <w:pict>
              <v:group w14:anchorId="0305403F" id="Group 7" o:spid="_x0000_s1043" style="width:233.6pt;height:35.05pt;mso-position-horizontal-relative:char;mso-position-vertical-relative:line" coordsize="29665,4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b9awMAAGcMAAAOAAAAZHJzL2Uyb0RvYy54bWzsV2tv0zAU/Y7Ef7D8neXZ9KF1CNp1QkIw&#10;DfgBruM8JMcOttt0/HqunUezMRVtY0hIfEnj2Pd1fM61e/72UHG0Z0qXUixxcOZjxASVaSnyJf72&#10;dfNmhpE2RKSES8GW+JZp/Pbi9avzpl6wUBaSp0whcCL0oqmXuDCmXniepgWriD6TNRMwmUlVEQND&#10;lXupIg14r7gX+n7iNVKltZKUaQ1f1+0kvnD+s4xR8znLNDOILzHkZtxTuefWPr2Lc7LIFamLknZp&#10;kCdkUZFSQNDB1ZoYgnaq/MVVVVIltczMGZWVJ7OspMzVANUE/r1qrpTc1a6WfNHk9QATQHsPpye7&#10;pZ/2V6r+Ul8rQKKpc8DCjWwth0xV9heyRAcH2e0AGTsYROFjOE+SyTzGiMJcHE98f9ZiSgsA/hcz&#10;WlyeNvT6sN6dZJoa6KGPCOjnIfClIDVzwOoFIHCtUJkucRRMo/nUnyYYCVIBWW+APkTknKHjlIPJ&#10;WQ2g6YUG/J6J2FA4WdRKmysmK2RfllhBFo5bZP9RG4gPS/slNqiWvEw3JeduoPLtiiu0J0D49fvL&#10;95fv7H6AyZ1lXKDGFTxxsxbetgb3Zm45s864uGEZQGP32WXgZMkG/4RSJkzQThUkZW3YAFjglGWj&#10;WiFbC5eDc2g9Z5Du4Ltz0K9snfS+2+S79daUOVUPxv6pxFrjwcJFlsIMxlUppHrIAYequsjtekh/&#10;BI193cr0FoijDF/JtrkQQQsJvYUaNaAKpLW6+gvsDZJpOA/COAYx3qfvaA6qsukA63/P3yCeT+LZ&#10;HCPQdjKZJIktC3agk3AQ2Y2Grmq1HwXRDJTTgtZ3jp6mz2byZrNateFPMNnmdoflA/laSm3zflNH&#10;q8AfF/3uOhmP9vmOBKLTRHk0t8OeYa0WHuD2CWH0xi/DbXPYHlxLDJyOR3TXNd2U0JY+Em2uiYKz&#10;EvYfzn/oU8D9Hxg1cJYusf6+I4phxD8IaNXT0J+FcPiOB2o82I4HYlc5RQVwc6hp+xpOIcxYX91g&#10;ZdxZbrET8t3OyKx0HfKYcbe1f0+HYRBFCZwkcPG5L8Pj1KNU6EexPzkhQlAeYPXyIoyn83C27lg7&#10;kpBVyXCc/BfhnzpgjiJ0betIaSuLf1eE7mIHt1l3Iehu3va6PB470R7/H1z8BAAA//8DAFBLAwQU&#10;AAYACAAAACEAl1jJQd0AAAAEAQAADwAAAGRycy9kb3ducmV2LnhtbEyPT2vCQBDF74V+h2UKvdVN&#10;tFWJ2YiI7UkK/oHS25gdk2B2NmTXJH77bnupl4HHe7z3m3Q5mFp01LrKsoJ4FIEgzq2uuFBwPLy/&#10;zEE4j6yxtkwKbuRgmT0+pJho2/OOur0vRChhl6CC0vsmkdLlJRl0I9sQB+9sW4M+yLaQusU+lJta&#10;jqNoKg1WHBZKbGhdUn7ZX42Cjx771STedNvLeX37Prx9fm1jUur5aVgtQHga/H8YfvEDOmSB6WSv&#10;rJ2oFYRH/N8N3ut0NgZxUjCLYpBZKu/hsx8AAAD//wMAUEsBAi0AFAAGAAgAAAAhALaDOJL+AAAA&#10;4QEAABMAAAAAAAAAAAAAAAAAAAAAAFtDb250ZW50X1R5cGVzXS54bWxQSwECLQAUAAYACAAAACEA&#10;OP0h/9YAAACUAQAACwAAAAAAAAAAAAAAAAAvAQAAX3JlbHMvLnJlbHNQSwECLQAUAAYACAAAACEA&#10;ifrG/WsDAABnDAAADgAAAAAAAAAAAAAAAAAuAgAAZHJzL2Uyb0RvYy54bWxQSwECLQAUAAYACAAA&#10;ACEAl1jJQd0AAAAEAQAADwAAAAAAAAAAAAAAAADFBQAAZHJzL2Rvd25yZXYueG1sUEsFBgAAAAAE&#10;AAQA8wAAAM8GAAAAAA==&#10;">
                <v:rect id="Rectangle 317397076" o:spid="_x0000_s1044" style="position:absolute;width:29665;height:44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mOYrxwAAAOIAAAAPAAAAZHJzL2Rvd25yZXYueG1sRI9BS8NA&#10;FITvgv9heYI3u6mBxsZuiwhKwJNtvT+zr7uh2bch+2ziv3cFweMwM98wm90cenWhMXWRDSwXBSji&#10;NtqOnYHj4eXuAVQSZIt9ZDLwTQl22+urDdY2TvxOl704lSGcajTgRYZa69R6CpgWcSDO3imOASXL&#10;0Wk74pThodf3RbHSATvOCx4HevbUnvdfwUAnZfvmp/Xn60d5bKJrnPjDZMztzfz0CEpolv/wX7ux&#10;BsplVa6rolrB76V8B/T2BwAA//8DAFBLAQItABQABgAIAAAAIQDb4fbL7gAAAIUBAAATAAAAAAAA&#10;AAAAAAAAAAAAAABbQ29udGVudF9UeXBlc10ueG1sUEsBAi0AFAAGAAgAAAAhAFr0LFu/AAAAFQEA&#10;AAsAAAAAAAAAAAAAAAAAHwEAAF9yZWxzLy5yZWxzUEsBAi0AFAAGAAgAAAAhAKCY5ivHAAAA4gAA&#10;AA8AAAAAAAAAAAAAAAAABwIAAGRycy9kb3ducmV2LnhtbFBLBQYAAAAAAwADALcAAAD7AgAAAAA=&#10;" fillcolor="#dbebea" strokecolor="#0c1615 [484]" strokeweight=".25pt"/>
                <v:rect id="Rectangle 1672912444" o:spid="_x0000_s1045" style="position:absolute;left:14954;top:655;width:13500;height:31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nbfRyQAAAOMAAAAPAAAAZHJzL2Rvd25yZXYueG1sRE9LSwMx&#10;EL4L/Q9hBC/FJl2WPrZNSxEVT6UPDz0Om+nu4mYSNnG7+uuNIHic7z3r7WBb0VMXGscaphMFgrh0&#10;puFKw/v55XEBIkRkg61j0vBFAbab0d0aC+NufKT+FCuRQjgUqKGO0RdShrImi2HiPHHirq6zGNPZ&#10;VdJ0eEvhtpWZUjNpseHUUKOnp5rKj9On1aDU3Pf76zPtX8cHf4nj89KFb60f7ofdCkSkIf6L/9xv&#10;Js2fzbPlNMvzHH5/SgDIzQ8AAAD//wMAUEsBAi0AFAAGAAgAAAAhANvh9svuAAAAhQEAABMAAAAA&#10;AAAAAAAAAAAAAAAAAFtDb250ZW50X1R5cGVzXS54bWxQSwECLQAUAAYACAAAACEAWvQsW78AAAAV&#10;AQAACwAAAAAAAAAAAAAAAAAfAQAAX3JlbHMvLnJlbHNQSwECLQAUAAYACAAAACEAYp230ckAAADj&#10;AAAADwAAAAAAAAAAAAAAAAAHAgAAZHJzL2Rvd25yZXYueG1sUEsFBgAAAAADAAMAtwAAAP0CAAAA&#10;AA==&#10;" fillcolor="#fc6" strokecolor="white [3212]" strokeweight=".25pt">
                  <v:textbox inset="2.00228mm,2.00228mm,2.00228mm,2.00228mm">
                    <w:txbxContent>
                      <w:p w14:paraId="26A13EF4" w14:textId="77777777" w:rsidR="00D65012" w:rsidRDefault="00D65012" w:rsidP="00D65012">
                        <w:pPr>
                          <w:spacing w:after="92" w:line="216" w:lineRule="auto"/>
                          <w:jc w:val="center"/>
                          <w:rPr>
                            <w:rFonts w:hAnsi="Aptos"/>
                            <w:b/>
                            <w:bCs/>
                            <w:color w:val="000000" w:themeColor="text1"/>
                            <w:kern w:val="24"/>
                            <w:sz w:val="22"/>
                            <w:szCs w:val="22"/>
                          </w:rPr>
                        </w:pPr>
                        <w:r>
                          <w:rPr>
                            <w:rFonts w:hAnsi="Aptos"/>
                            <w:b/>
                            <w:bCs/>
                            <w:color w:val="000000" w:themeColor="text1"/>
                            <w:kern w:val="24"/>
                            <w:sz w:val="22"/>
                            <w:szCs w:val="22"/>
                          </w:rPr>
                          <w:t>Moderate</w:t>
                        </w:r>
                      </w:p>
                    </w:txbxContent>
                  </v:textbox>
                </v:rect>
                <v:rect id="Rectangle 213361738" o:spid="_x0000_s1046" style="position:absolute;left:1034;top:655;width:13513;height:31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NX2HyAAAAOIAAAAPAAAAZHJzL2Rvd25yZXYueG1sRE/LSsNA&#10;FN0L/sNwBXd28tC0xk6LCGIXbmwLpbtL5jaJzdwJM2OS/n1nUXB5OO/lejKdGMj51rKCdJaAIK6s&#10;brlWsN99Pi1A+ICssbNMCi7kYb26v1tiqe3IPzRsQy1iCPsSFTQh9KWUvmrIoJ/ZnjhyJ+sMhghd&#10;LbXDMYabTmZJUkiDLceGBnv6aKg6b/+Mgvr35F764/D1et4V8+/nsRgOGSr1+DC9v4EINIV/8c29&#10;0QqyNM+LdJ7HzfFSvANydQUAAP//AwBQSwECLQAUAAYACAAAACEA2+H2y+4AAACFAQAAEwAAAAAA&#10;AAAAAAAAAAAAAAAAW0NvbnRlbnRfVHlwZXNdLnhtbFBLAQItABQABgAIAAAAIQBa9CxbvwAAABUB&#10;AAALAAAAAAAAAAAAAAAAAB8BAABfcmVscy8ucmVsc1BLAQItABQABgAIAAAAIQDuNX2HyAAAAOIA&#10;AAAPAAAAAAAAAAAAAAAAAAcCAABkcnMvZG93bnJldi54bWxQSwUGAAAAAAMAAwC3AAAA/AIAAAAA&#10;" fillcolor="#47928d" strokecolor="white [3212]" strokeweight=".25pt">
                  <v:textbox inset="2.00228mm,2.00228mm,2.00228mm,2.00228mm">
                    <w:txbxContent>
                      <w:p w14:paraId="12F8EC83" w14:textId="77777777" w:rsidR="00D65012" w:rsidRDefault="00D65012" w:rsidP="00D65012">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Sensitivity</w:t>
                        </w:r>
                      </w:p>
                    </w:txbxContent>
                  </v:textbox>
                </v:rect>
                <w10:anchorlock/>
              </v:group>
            </w:pict>
          </mc:Fallback>
        </mc:AlternateContent>
      </w:r>
    </w:p>
    <w:p w14:paraId="192BF899" w14:textId="505A3E9C" w:rsidR="0014438C" w:rsidRDefault="0014438C" w:rsidP="0014438C">
      <w:r w:rsidRPr="0014438C">
        <w:t>A prolonged or widespread fuel disruption could affect domestic heating, emergency services, health and care provision, public transport, freight, food distribution, businesses and the operation of other utilities. Consequences could be most serious for people who depend on reliable heating, transport or powered medical and care services</w:t>
      </w:r>
      <w:r w:rsidR="00F17617">
        <w:fldChar w:fldCharType="begin"/>
      </w:r>
      <w:r w:rsidR="00F17617">
        <w:instrText xml:space="preserve"> NOTEREF _Ref241684431 \f \h </w:instrText>
      </w:r>
      <w:r w:rsidR="00F17617">
        <w:fldChar w:fldCharType="separate"/>
      </w:r>
      <w:r w:rsidR="00C84014" w:rsidRPr="00C84014">
        <w:rPr>
          <w:rStyle w:val="FootnoteReference"/>
        </w:rPr>
        <w:t>2</w:t>
      </w:r>
      <w:r w:rsidR="00F17617">
        <w:fldChar w:fldCharType="end"/>
      </w:r>
      <w:r w:rsidRPr="0014438C">
        <w:t>.</w:t>
      </w:r>
    </w:p>
    <w:p w14:paraId="47D4221E" w14:textId="40FAF9FA" w:rsidR="00860E5B" w:rsidRPr="00860E5B" w:rsidRDefault="00860E5B" w:rsidP="0014438C">
      <w:pPr>
        <w:rPr>
          <w:lang w:val="en-GB"/>
        </w:rPr>
      </w:pPr>
      <w:r w:rsidRPr="00860E5B">
        <w:rPr>
          <w:lang w:val="en-GB"/>
        </w:rPr>
        <w:t>Yorkshire Ambulance Service identifies fuel as part of the supply chain needed for operational continuity and includes flooded refuelling infrastructure and fuel-related supply-chain disruption among the risks to its fleet. Its assessment covers the wider Yorkshire service area rather than West Yorkshire alone, but it illustrates how disruption to fuel infrastructure could compound extreme-weather pressures on emergency response.</w:t>
      </w:r>
      <w:r>
        <w:rPr>
          <w:rStyle w:val="FootnoteReference"/>
          <w:lang w:val="en-GB"/>
        </w:rPr>
        <w:footnoteReference w:id="13"/>
      </w:r>
    </w:p>
    <w:p w14:paraId="46ECC0C6" w14:textId="51F342D6" w:rsidR="0014438C" w:rsidRPr="00860E5B" w:rsidRDefault="0014438C" w:rsidP="0014438C">
      <w:pPr>
        <w:rPr>
          <w:lang w:val="en-GB"/>
        </w:rPr>
      </w:pPr>
      <w:r w:rsidRPr="0014438C">
        <w:t xml:space="preserve">Northern Gas Networks reports that much of its system is underground, sealed and </w:t>
      </w:r>
      <w:proofErr w:type="spellStart"/>
      <w:r w:rsidRPr="0014438C">
        <w:t>pressurised</w:t>
      </w:r>
      <w:proofErr w:type="spellEnd"/>
      <w:r w:rsidRPr="0014438C">
        <w:t xml:space="preserve">, which reduces direct vulnerability. </w:t>
      </w:r>
      <w:r w:rsidR="00860E5B" w:rsidRPr="00860E5B">
        <w:rPr>
          <w:lang w:val="en-GB"/>
        </w:rPr>
        <w:t>Across Northern Gas Networks’ wider operating area, flooding in December 2015 and January 2016 caused six water-ingress events, affecting supply to 469 customer properties</w:t>
      </w:r>
      <w:bookmarkStart w:id="8" w:name="_Ref241742968"/>
      <w:r w:rsidR="00D44C79">
        <w:rPr>
          <w:rStyle w:val="FootnoteReference"/>
        </w:rPr>
        <w:footnoteReference w:id="14"/>
      </w:r>
      <w:bookmarkEnd w:id="8"/>
      <w:r w:rsidR="00860E5B" w:rsidRPr="00860E5B">
        <w:rPr>
          <w:lang w:val="en-GB"/>
        </w:rPr>
        <w:t xml:space="preserve">. The operator reports an average interruption of 77 hours and damage to three road bridges in Yorkshire carrying gas pipes. </w:t>
      </w:r>
      <w:r w:rsidRPr="0014438C">
        <w:t>River erosion can expose or undermine high-pressure pipelines, while electricity and telecommunications failures can affect remotely operated equipment and the deployment of field staff. Northern Gas Networks</w:t>
      </w:r>
      <w:r w:rsidR="00FA7196">
        <w:t>’</w:t>
      </w:r>
      <w:r w:rsidRPr="0014438C">
        <w:t xml:space="preserve"> Climate Change Adaptation Report also shows that apparently resilient gas infrastructure can experience cascading disruption through transport, power and communications</w:t>
      </w:r>
      <w:r w:rsidR="0008152C">
        <w:fldChar w:fldCharType="begin"/>
      </w:r>
      <w:r w:rsidR="0008152C">
        <w:instrText xml:space="preserve"> NOTEREF _Ref241742968 \f \h </w:instrText>
      </w:r>
      <w:r w:rsidR="0008152C">
        <w:fldChar w:fldCharType="separate"/>
      </w:r>
      <w:r w:rsidR="00C84014" w:rsidRPr="00C84014">
        <w:rPr>
          <w:rStyle w:val="FootnoteReference"/>
        </w:rPr>
        <w:t>14</w:t>
      </w:r>
      <w:r w:rsidR="0008152C">
        <w:fldChar w:fldCharType="end"/>
      </w:r>
      <w:r w:rsidRPr="0014438C">
        <w:t>.</w:t>
      </w:r>
      <w:r w:rsidR="0084646B" w:rsidRPr="0014438C">
        <w:t xml:space="preserve"> </w:t>
      </w:r>
    </w:p>
    <w:p w14:paraId="2F915E74" w14:textId="299110F4" w:rsidR="00860E5B" w:rsidRPr="00860E5B" w:rsidRDefault="00860E5B" w:rsidP="00860E5B">
      <w:pPr>
        <w:rPr>
          <w:lang w:val="en-GB"/>
        </w:rPr>
      </w:pPr>
      <w:r w:rsidRPr="00860E5B">
        <w:rPr>
          <w:lang w:val="en-GB"/>
        </w:rPr>
        <w:lastRenderedPageBreak/>
        <w:t>Northern Gas Networks rates its infrastructure and operations as having an overall low-to-medium climate-risk profile and identifies no high risks in the periods and warming scenarios assessed.</w:t>
      </w:r>
      <w:r w:rsidR="00863F16">
        <w:rPr>
          <w:lang w:val="en-GB"/>
        </w:rPr>
        <w:fldChar w:fldCharType="begin"/>
      </w:r>
      <w:r w:rsidR="00863F16">
        <w:rPr>
          <w:lang w:val="en-GB"/>
        </w:rPr>
        <w:instrText xml:space="preserve"> NOTEREF _Ref241742968 \f \h </w:instrText>
      </w:r>
      <w:r w:rsidR="00863F16">
        <w:rPr>
          <w:lang w:val="en-GB"/>
        </w:rPr>
      </w:r>
      <w:r w:rsidR="00863F16">
        <w:rPr>
          <w:lang w:val="en-GB"/>
        </w:rPr>
        <w:fldChar w:fldCharType="separate"/>
      </w:r>
      <w:r w:rsidR="00863F16" w:rsidRPr="00863F16">
        <w:rPr>
          <w:rStyle w:val="FootnoteReference"/>
          <w:lang w:val="en-GB"/>
        </w:rPr>
        <w:t>14</w:t>
      </w:r>
      <w:r w:rsidR="00863F16">
        <w:rPr>
          <w:lang w:val="en-GB"/>
        </w:rPr>
        <w:fldChar w:fldCharType="end"/>
      </w:r>
      <w:r w:rsidRPr="00860E5B">
        <w:rPr>
          <w:lang w:val="en-GB"/>
        </w:rPr>
        <w:t xml:space="preserve"> The sensitivity </w:t>
      </w:r>
      <w:r>
        <w:rPr>
          <w:lang w:val="en-GB"/>
        </w:rPr>
        <w:t xml:space="preserve">assessment for this section </w:t>
      </w:r>
      <w:r w:rsidRPr="00860E5B">
        <w:rPr>
          <w:lang w:val="en-GB"/>
        </w:rPr>
        <w:t>reflects the possible consequences of a widespread failure across the broader fuel system, rather than the operator’s assessment of the likelihood or direct vulnerability of the existing gas network.</w:t>
      </w:r>
    </w:p>
    <w:p w14:paraId="4E35F99E" w14:textId="799B7EA9" w:rsidR="004706BD" w:rsidRPr="004706BD" w:rsidRDefault="0014438C" w:rsidP="004706BD">
      <w:pPr>
        <w:rPr>
          <w:lang w:val="en-GB"/>
        </w:rPr>
      </w:pPr>
      <w:r w:rsidRPr="0014438C">
        <w:t xml:space="preserve">West Yorkshire’s constrained routes increase the potential for operational disruption. </w:t>
      </w:r>
      <w:r w:rsidR="003B301A">
        <w:t>Calderdale’s transport strategy</w:t>
      </w:r>
      <w:r w:rsidR="003B301A">
        <w:rPr>
          <w:rStyle w:val="FootnoteReference"/>
        </w:rPr>
        <w:footnoteReference w:id="15"/>
      </w:r>
      <w:r w:rsidR="003B301A">
        <w:t xml:space="preserve"> </w:t>
      </w:r>
      <w:r w:rsidRPr="0014438C">
        <w:t xml:space="preserve">records community concerns about transport resilience to flooding and winter weather, while </w:t>
      </w:r>
      <w:r w:rsidR="003B301A">
        <w:t>stakeholders confirmed</w:t>
      </w:r>
      <w:r w:rsidRPr="0014438C">
        <w:t xml:space="preserve"> that severe weather can make timely emergency attendance more difficult in western upland and valley communities.</w:t>
      </w:r>
      <w:r w:rsidR="00532385">
        <w:fldChar w:fldCharType="begin"/>
      </w:r>
      <w:r w:rsidR="00532385">
        <w:instrText xml:space="preserve"> NOTEREF _Ref241684655 \f \h </w:instrText>
      </w:r>
      <w:r w:rsidR="00532385">
        <w:fldChar w:fldCharType="separate"/>
      </w:r>
      <w:r w:rsidR="00C84014" w:rsidRPr="00C84014">
        <w:rPr>
          <w:rStyle w:val="FootnoteReference"/>
        </w:rPr>
        <w:t>12</w:t>
      </w:r>
      <w:r w:rsidR="00532385">
        <w:fldChar w:fldCharType="end"/>
      </w:r>
      <w:r w:rsidRPr="0014438C">
        <w:t xml:space="preserve">  </w:t>
      </w:r>
      <w:r w:rsidR="004706BD" w:rsidRPr="004706BD">
        <w:rPr>
          <w:lang w:val="en-GB"/>
        </w:rPr>
        <w:t>No local information was identified on depot locations, tanker routes, storage levels or alternative delivery arrangements</w:t>
      </w:r>
    </w:p>
    <w:p w14:paraId="554ED788" w14:textId="710519C2" w:rsidR="00BB3852" w:rsidRPr="00FA7196" w:rsidRDefault="0014438C">
      <w:r w:rsidRPr="0014438C">
        <w:t xml:space="preserve">Sensitivity may change as the energy system </w:t>
      </w:r>
      <w:proofErr w:type="spellStart"/>
      <w:proofErr w:type="gramStart"/>
      <w:r w:rsidRPr="0014438C">
        <w:t>decarbonises</w:t>
      </w:r>
      <w:proofErr w:type="spellEnd"/>
      <w:proofErr w:type="gramEnd"/>
      <w:r w:rsidRPr="0014438C">
        <w:t>. Declining oil and natural-gas use could reduce exposure to some legacy assets</w:t>
      </w:r>
      <w:r w:rsidR="00532385">
        <w:fldChar w:fldCharType="begin"/>
      </w:r>
      <w:r w:rsidR="00532385">
        <w:instrText xml:space="preserve"> NOTEREF _Ref241684431 \f \h </w:instrText>
      </w:r>
      <w:r w:rsidR="00532385">
        <w:fldChar w:fldCharType="separate"/>
      </w:r>
      <w:r w:rsidR="00C84014" w:rsidRPr="00C84014">
        <w:rPr>
          <w:rStyle w:val="FootnoteReference"/>
        </w:rPr>
        <w:t>2</w:t>
      </w:r>
      <w:r w:rsidR="00532385">
        <w:fldChar w:fldCharType="end"/>
      </w:r>
      <w:r w:rsidRPr="0014438C">
        <w:t>, while hydrogen and other low-carbon fuels may create new infrastructure and interdependencies.</w:t>
      </w:r>
      <w:r w:rsidR="00DB490D">
        <w:rPr>
          <w:rStyle w:val="FootnoteReference"/>
        </w:rPr>
        <w:footnoteReference w:id="16"/>
      </w:r>
      <w:r w:rsidRPr="0014438C">
        <w:t xml:space="preserve"> The exact regional consequences remain uncertain because future networks, asset locations and customer demand are not yet </w:t>
      </w:r>
      <w:r w:rsidR="00532385">
        <w:t>known</w:t>
      </w:r>
      <w:r w:rsidRPr="0014438C">
        <w:t xml:space="preserve">. </w:t>
      </w:r>
    </w:p>
    <w:p w14:paraId="3E6E81D4" w14:textId="77777777" w:rsidR="00BB3852" w:rsidRPr="00AD071E" w:rsidRDefault="000E4CD9" w:rsidP="00904F74">
      <w:pPr>
        <w:pStyle w:val="Heading2"/>
      </w:pPr>
      <w:r w:rsidRPr="00AD071E">
        <w:t>Adaptive Capacity: Existing programmes, plans, policies, budgets and</w:t>
      </w:r>
      <w:r w:rsidRPr="00E60DA8">
        <w:t xml:space="preserve"> </w:t>
      </w:r>
      <w:r w:rsidRPr="00AD071E">
        <w:t>community action</w:t>
      </w:r>
    </w:p>
    <w:p w14:paraId="767E1A74" w14:textId="4A6704B0" w:rsidR="001B4FA0" w:rsidRDefault="001B4FA0">
      <w:pPr>
        <w:rPr>
          <w:lang w:val="en-GB"/>
        </w:rPr>
      </w:pPr>
      <w:r w:rsidRPr="001B4FA0">
        <w:rPr>
          <w:noProof/>
        </w:rPr>
        <mc:AlternateContent>
          <mc:Choice Requires="wpg">
            <w:drawing>
              <wp:inline distT="0" distB="0" distL="0" distR="0" wp14:anchorId="6563FC0A" wp14:editId="45B76A3E">
                <wp:extent cx="2966594" cy="445008"/>
                <wp:effectExtent l="0" t="0" r="24765" b="12700"/>
                <wp:docPr id="24" name="Group 23">
                  <a:extLst xmlns:a="http://schemas.openxmlformats.org/drawingml/2006/main">
                    <a:ext uri="{FF2B5EF4-FFF2-40B4-BE49-F238E27FC236}">
                      <a16:creationId xmlns:a16="http://schemas.microsoft.com/office/drawing/2014/main" id="{48CCF535-9D22-C284-BD45-8FEAC46468F8}"/>
                    </a:ext>
                  </a:extLst>
                </wp:docPr>
                <wp:cNvGraphicFramePr/>
                <a:graphic xmlns:a="http://schemas.openxmlformats.org/drawingml/2006/main">
                  <a:graphicData uri="http://schemas.microsoft.com/office/word/2010/wordprocessingGroup">
                    <wpg:wgp>
                      <wpg:cNvGrpSpPr/>
                      <wpg:grpSpPr>
                        <a:xfrm>
                          <a:off x="0" y="0"/>
                          <a:ext cx="2966594" cy="445008"/>
                          <a:chOff x="0" y="0"/>
                          <a:chExt cx="2966594" cy="445008"/>
                        </a:xfrm>
                      </wpg:grpSpPr>
                      <wps:wsp>
                        <wps:cNvPr id="21215504" name="Rectangle 21215504">
                          <a:extLst>
                            <a:ext uri="{FF2B5EF4-FFF2-40B4-BE49-F238E27FC236}">
                              <a16:creationId xmlns:a16="http://schemas.microsoft.com/office/drawing/2014/main" id="{62689F8B-47DA-4391-DF54-469708618F06}"/>
                            </a:ext>
                          </a:extLst>
                        </wps:cNvPr>
                        <wps:cNvSpPr/>
                        <wps:spPr>
                          <a:xfrm>
                            <a:off x="0" y="0"/>
                            <a:ext cx="2966594" cy="445008"/>
                          </a:xfrm>
                          <a:prstGeom prst="rect">
                            <a:avLst/>
                          </a:prstGeom>
                          <a:solidFill>
                            <a:srgbClr val="DBEBEA"/>
                          </a:solidFill>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2027525004" name="Rectangle 2027525004">
                          <a:extLst>
                            <a:ext uri="{FF2B5EF4-FFF2-40B4-BE49-F238E27FC236}">
                              <a16:creationId xmlns:a16="http://schemas.microsoft.com/office/drawing/2014/main" id="{C92C7ABF-E276-487F-B2A5-51EC9B9D300C}"/>
                            </a:ext>
                          </a:extLst>
                        </wps:cNvPr>
                        <wps:cNvSpPr/>
                        <wps:spPr>
                          <a:xfrm>
                            <a:off x="1495489" y="65566"/>
                            <a:ext cx="1350000" cy="313876"/>
                          </a:xfrm>
                          <a:prstGeom prst="rect">
                            <a:avLst/>
                          </a:prstGeom>
                          <a:solidFill>
                            <a:srgbClr val="FFCC66"/>
                          </a:solidFill>
                          <a:ln w="12700">
                            <a:solidFill>
                              <a:schemeClr val="bg1"/>
                            </a:solidFill>
                          </a:ln>
                        </wps:spPr>
                        <wps:style>
                          <a:lnRef idx="3">
                            <a:schemeClr val="lt1"/>
                          </a:lnRef>
                          <a:fillRef idx="1">
                            <a:schemeClr val="accent2"/>
                          </a:fillRef>
                          <a:effectRef idx="1">
                            <a:schemeClr val="accent2"/>
                          </a:effectRef>
                          <a:fontRef idx="minor">
                            <a:schemeClr val="lt1"/>
                          </a:fontRef>
                        </wps:style>
                        <wps:txbx>
                          <w:txbxContent>
                            <w:p w14:paraId="6D2F9B8A" w14:textId="77777777" w:rsidR="001B4FA0" w:rsidRDefault="001B4FA0" w:rsidP="001B4FA0">
                              <w:pPr>
                                <w:spacing w:after="92" w:line="216" w:lineRule="auto"/>
                                <w:jc w:val="center"/>
                                <w:rPr>
                                  <w:rFonts w:hAnsi="Aptos"/>
                                  <w:b/>
                                  <w:color w:val="000000" w:themeColor="text1"/>
                                  <w:kern w:val="24"/>
                                  <w:sz w:val="22"/>
                                  <w:szCs w:val="22"/>
                                </w:rPr>
                              </w:pPr>
                              <w:r>
                                <w:rPr>
                                  <w:rFonts w:hAnsi="Aptos"/>
                                  <w:b/>
                                  <w:color w:val="000000" w:themeColor="text1"/>
                                  <w:kern w:val="24"/>
                                  <w:sz w:val="22"/>
                                  <w:szCs w:val="22"/>
                                </w:rPr>
                                <w:t>Significant</w:t>
                              </w:r>
                            </w:p>
                          </w:txbxContent>
                        </wps:txbx>
                        <wps:bodyPr spcFirstLastPara="0" vert="horz" wrap="square" lIns="72082" tIns="72082" rIns="72082" bIns="72082" numCol="1" spcCol="1270" anchor="ctr" anchorCtr="0">
                          <a:noAutofit/>
                        </wps:bodyPr>
                      </wps:wsp>
                      <wps:wsp>
                        <wps:cNvPr id="441376926" name="Rectangle 441376926">
                          <a:extLst>
                            <a:ext uri="{FF2B5EF4-FFF2-40B4-BE49-F238E27FC236}">
                              <a16:creationId xmlns:a16="http://schemas.microsoft.com/office/drawing/2014/main" id="{4B298F21-1ABD-91F1-8C70-D2D3DB624596}"/>
                            </a:ext>
                          </a:extLst>
                        </wps:cNvPr>
                        <wps:cNvSpPr/>
                        <wps:spPr>
                          <a:xfrm>
                            <a:off x="103405" y="65566"/>
                            <a:ext cx="1351381" cy="313876"/>
                          </a:xfrm>
                          <a:prstGeom prst="rect">
                            <a:avLst/>
                          </a:prstGeom>
                          <a:solidFill>
                            <a:srgbClr val="47928D"/>
                          </a:solidFill>
                          <a:ln w="12700">
                            <a:solidFill>
                              <a:schemeClr val="bg1"/>
                            </a:solidFill>
                          </a:ln>
                        </wps:spPr>
                        <wps:style>
                          <a:lnRef idx="3">
                            <a:schemeClr val="lt1"/>
                          </a:lnRef>
                          <a:fillRef idx="1">
                            <a:schemeClr val="accent2"/>
                          </a:fillRef>
                          <a:effectRef idx="1">
                            <a:schemeClr val="accent2"/>
                          </a:effectRef>
                          <a:fontRef idx="minor">
                            <a:schemeClr val="lt1"/>
                          </a:fontRef>
                        </wps:style>
                        <wps:txbx>
                          <w:txbxContent>
                            <w:p w14:paraId="76453419" w14:textId="77777777" w:rsidR="001B4FA0" w:rsidRDefault="001B4FA0" w:rsidP="001B4FA0">
                              <w:pPr>
                                <w:spacing w:after="92" w:line="216" w:lineRule="auto"/>
                                <w:jc w:val="center"/>
                                <w:rPr>
                                  <w:rFonts w:hAnsi="Aptos"/>
                                  <w:b/>
                                  <w:color w:val="FFFFFF" w:themeColor="background1"/>
                                  <w:kern w:val="24"/>
                                  <w:sz w:val="22"/>
                                  <w:szCs w:val="22"/>
                                </w:rPr>
                              </w:pPr>
                              <w:r>
                                <w:rPr>
                                  <w:rFonts w:hAnsi="Aptos"/>
                                  <w:b/>
                                  <w:color w:val="FFFFFF" w:themeColor="background1"/>
                                  <w:kern w:val="24"/>
                                  <w:sz w:val="22"/>
                                  <w:szCs w:val="22"/>
                                </w:rPr>
                                <w:t>Adaptive Capacity</w:t>
                              </w:r>
                            </w:p>
                          </w:txbxContent>
                        </wps:txbx>
                        <wps:bodyPr spcFirstLastPara="0" vert="horz" wrap="square" lIns="72082" tIns="72082" rIns="72082" bIns="72082" numCol="1" spcCol="1270" anchor="ctr" anchorCtr="0">
                          <a:noAutofit/>
                        </wps:bodyPr>
                      </wps:wsp>
                    </wpg:wgp>
                  </a:graphicData>
                </a:graphic>
              </wp:inline>
            </w:drawing>
          </mc:Choice>
          <mc:Fallback>
            <w:pict>
              <v:group w14:anchorId="6563FC0A" id="Group 23" o:spid="_x0000_s1047" style="width:233.6pt;height:35.05pt;mso-position-horizontal-relative:char;mso-position-vertical-relative:line" coordsize="29665,4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HgkXAMAAFcMAAAOAAAAZHJzL2Uyb0RvYy54bWzsV2tv2jAU/T5p/8HK9zUPkgBRoWqhVJOq&#10;rWq3H2Ac5yEldmYbQvfrd+08SFvE1FZUmrQvIY59X+eeY5vzi11ZoC0VMudsZrlnjoUoIzzOWTqz&#10;fv5YfZlYSCrMYlxwRmfWI5XWxfzzp/O6iqjHM17EVCBwwmRUVzMrU6qKbFuSjJZYnvGKMphMuCix&#10;gqFI7VjgGryXhe05TmjXXMSV4IRKCV+XzaQ1N/6ThBL1PUkkVaiYWZCbMk9hnmv9tOfnOEoFrrKc&#10;tGngN2RR4pxB0N7VEiuMNiJ/4arMieCSJ+qM8NLmSZITamqAalznWTU3gm8qU0sa1WnVwwTQPsPp&#10;zW7Jt+2NqB6qOwFI1FUKWJiRrmWXiFL/QpZoZyB77CGjO4UIfPSmYRhMfQsRmPP9wHEmDaYkA+Bf&#10;mJHs+rih3YW1nyRTV0APuUdAvg+BhwxX1AArI0DgTqA8hlpczw0CB4phuASu3gN7MEsLivoZA5Kx&#10;6SGTkQT03olXXzaOKiHVDeUl0i8zS0AShll4eysVxIel3RIdVPIij1d5UZiBSNeLQqAtBrovr66v&#10;ri91N8BksAyQ7XI2b+qxoNq4YPc0ASB0V01EI0La+8OEUKbcZirDMW3CuNBzoyMdRctWW5iYxqH2&#10;nEB6ve/WQbeycdL5bpJt12tTajTcGzvHEmuMewsTmTPVG5c54+KQgwKqaiM36yH9ATT6dc3jR6CJ&#10;UMWCN1sJZiTjsJMQJYyxXgUU1Sr6CK463jjwAPpDbN3PQVU6HeD43/nq+tPAn0wtBEoOgyAMGyF3&#10;SndHutGwh2qlj9zRZGwWnIK5q9Vi0YR/ylzNUVTDMeONIRHd3wGtB+xrOLVOu64OVoHDgnXtNbrV&#10;+MgDGhgdZ8qrye11FGvEcIDcR5TRGZ+G3Gq33pkd0DVxNCIt32VFVjnsQ7dYqjss4GgEAsBxDxsT&#10;kP+3hWo4OmeW/LXBglqo+MpgZx57zsSDs3Y4EMPBejhgm9JIyoWLQkWaV+ivhYYCawcLZY5ujR3j&#10;lxvFk9xsifuM29Z+nBB93x2Nw6kXvjw19lOvkqEz8p3giApBeoDV6VXoj6feZNmydiCh/yo8tQpH&#10;GvQ9p7Uu/l0Vmosc3F7NlaC9aevr8XBsVLv/PzD/AwAA//8DAFBLAwQUAAYACAAAACEAl1jJQd0A&#10;AAAEAQAADwAAAGRycy9kb3ducmV2LnhtbEyPT2vCQBDF74V+h2UKvdVNtFWJ2YiI7UkK/oHS25gd&#10;k2B2NmTXJH77bnupl4HHe7z3m3Q5mFp01LrKsoJ4FIEgzq2uuFBwPLy/zEE4j6yxtkwKbuRgmT0+&#10;pJho2/OOur0vRChhl6CC0vsmkdLlJRl0I9sQB+9sW4M+yLaQusU+lJtajqNoKg1WHBZKbGhdUn7Z&#10;X42Cjx771STedNvLeX37Prx9fm1jUur5aVgtQHga/H8YfvEDOmSB6WSvrJ2oFYRH/N8N3ut0NgZx&#10;UjCLYpBZKu/hsx8AAAD//wMAUEsBAi0AFAAGAAgAAAAhALaDOJL+AAAA4QEAABMAAAAAAAAAAAAA&#10;AAAAAAAAAFtDb250ZW50X1R5cGVzXS54bWxQSwECLQAUAAYACAAAACEAOP0h/9YAAACUAQAACwAA&#10;AAAAAAAAAAAAAAAvAQAAX3JlbHMvLnJlbHNQSwECLQAUAAYACAAAACEA8vx4JFwDAABXDAAADgAA&#10;AAAAAAAAAAAAAAAuAgAAZHJzL2Uyb0RvYy54bWxQSwECLQAUAAYACAAAACEAl1jJQd0AAAAEAQAA&#10;DwAAAAAAAAAAAAAAAAC2BQAAZHJzL2Rvd25yZXYueG1sUEsFBgAAAAAEAAQA8wAAAMAGAAAAAA==&#10;">
                <v:rect id="Rectangle 21215504" o:spid="_x0000_s1048" style="position:absolute;width:29665;height:44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i9SYygAAAOEAAAAPAAAAZHJzL2Rvd25yZXYueG1sRI9BS8NA&#10;FITvQv/D8gQvYncTG1tjt0UEpfTW2AreHtlnEpp9G7LbNvn3rlDwOMzMN8xyPdhWnKn3jWMNyVSB&#10;IC6dabjSsP98f1iA8AHZYOuYNIzkYb2a3CwxN+7COzoXoRIRwj5HDXUIXS6lL2uy6KeuI47ej+st&#10;hij7SpoeLxFuW5kq9SQtNhwXauzorabyWJyshtlBZfPtbvww4/fX/UIdnk/FY9D67nZ4fQERaAj/&#10;4Wt7YzSkSZpkmZrB36P4BuTqFwAA//8DAFBLAQItABQABgAIAAAAIQDb4fbL7gAAAIUBAAATAAAA&#10;AAAAAAAAAAAAAAAAAABbQ29udGVudF9UeXBlc10ueG1sUEsBAi0AFAAGAAgAAAAhAFr0LFu/AAAA&#10;FQEAAAsAAAAAAAAAAAAAAAAAHwEAAF9yZWxzLy5yZWxzUEsBAi0AFAAGAAgAAAAhAImL1JjKAAAA&#10;4QAAAA8AAAAAAAAAAAAAAAAABwIAAGRycy9kb3ducmV2LnhtbFBLBQYAAAAAAwADALcAAAD+AgAA&#10;AAA=&#10;" fillcolor="#dbebea" strokecolor="#0c1615 [484]" strokeweight="1.5pt"/>
                <v:rect id="Rectangle 2027525004" o:spid="_x0000_s1049" style="position:absolute;left:14954;top:655;width:13500;height:31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FMZgywAAAOMAAAAPAAAAZHJzL2Rvd25yZXYueG1sRI9PS8NA&#10;FMTvgt9heYI3u+tqWhu7LSIWehFp2ou3R/Y1ie6fkH22sZ/eFQSPw8z8hlmsRu/EkYbUxWDgdqJA&#10;UKij7UJjYL9b3zyASIzBoouBDHxTgtXy8mKBpY2nsKVjxY3IkJBKNNAy96WUqW7JY5rEnkL2DnHw&#10;yFkOjbQDnjLcO6mVmkqPXcgLLfb03FL9WX15A6o6V4xTzS/v7m7+sX91s7dibcz11fj0CIJp5P/w&#10;X3tjDWilZ4UulLqH30/5D8jlDwAAAP//AwBQSwECLQAUAAYACAAAACEA2+H2y+4AAACFAQAAEwAA&#10;AAAAAAAAAAAAAAAAAAAAW0NvbnRlbnRfVHlwZXNdLnhtbFBLAQItABQABgAIAAAAIQBa9CxbvwAA&#10;ABUBAAALAAAAAAAAAAAAAAAAAB8BAABfcmVscy8ucmVsc1BLAQItABQABgAIAAAAIQDLFMZgywAA&#10;AOMAAAAPAAAAAAAAAAAAAAAAAAcCAABkcnMvZG93bnJldi54bWxQSwUGAAAAAAMAAwC3AAAA/wIA&#10;AAAA&#10;" fillcolor="#fc6" strokecolor="white [3212]" strokeweight="1pt">
                  <v:textbox inset="2.00228mm,2.00228mm,2.00228mm,2.00228mm">
                    <w:txbxContent>
                      <w:p w14:paraId="6D2F9B8A" w14:textId="77777777" w:rsidR="001B4FA0" w:rsidRDefault="001B4FA0" w:rsidP="001B4FA0">
                        <w:pPr>
                          <w:spacing w:after="92" w:line="216" w:lineRule="auto"/>
                          <w:jc w:val="center"/>
                          <w:rPr>
                            <w:rFonts w:hAnsi="Aptos"/>
                            <w:b/>
                            <w:color w:val="000000" w:themeColor="text1"/>
                            <w:kern w:val="24"/>
                            <w:sz w:val="22"/>
                            <w:szCs w:val="22"/>
                          </w:rPr>
                        </w:pPr>
                        <w:r>
                          <w:rPr>
                            <w:rFonts w:hAnsi="Aptos"/>
                            <w:b/>
                            <w:color w:val="000000" w:themeColor="text1"/>
                            <w:kern w:val="24"/>
                            <w:sz w:val="22"/>
                            <w:szCs w:val="22"/>
                          </w:rPr>
                          <w:t>Significant</w:t>
                        </w:r>
                      </w:p>
                    </w:txbxContent>
                  </v:textbox>
                </v:rect>
                <v:rect id="Rectangle 441376926" o:spid="_x0000_s1050" style="position:absolute;left:1034;top:655;width:13513;height:31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txSizAAAAOIAAAAPAAAAZHJzL2Rvd25yZXYueG1sRI9Ba8JA&#10;FITvBf/D8gRvdROVtE1dRQqlBRVqrNDjI/uaBLNvw+6qsb++KxR6HGbmG2a+7E0rzuR8Y1lBOk5A&#10;EJdWN1wp+Ny/3j+C8AFZY2uZFFzJw3IxuJtjru2Fd3QuQiUihH2OCuoQulxKX9Zk0I9tRxy9b+sM&#10;hihdJbXDS4SbVk6SJJMGG44LNXb0UlN5LE5GgdObjy+7Sn926+3hLTsdiqPfF0qNhv3qGUSgPvyH&#10;/9rvWsFslk4fsqdJBrdL8Q7IxS8AAAD//wMAUEsBAi0AFAAGAAgAAAAhANvh9svuAAAAhQEAABMA&#10;AAAAAAAAAAAAAAAAAAAAAFtDb250ZW50X1R5cGVzXS54bWxQSwECLQAUAAYACAAAACEAWvQsW78A&#10;AAAVAQAACwAAAAAAAAAAAAAAAAAfAQAAX3JlbHMvLnJlbHNQSwECLQAUAAYACAAAACEA2LcUoswA&#10;AADiAAAADwAAAAAAAAAAAAAAAAAHAgAAZHJzL2Rvd25yZXYueG1sUEsFBgAAAAADAAMAtwAAAAAD&#10;AAAAAA==&#10;" fillcolor="#47928d" strokecolor="white [3212]" strokeweight="1pt">
                  <v:textbox inset="2.00228mm,2.00228mm,2.00228mm,2.00228mm">
                    <w:txbxContent>
                      <w:p w14:paraId="76453419" w14:textId="77777777" w:rsidR="001B4FA0" w:rsidRDefault="001B4FA0" w:rsidP="001B4FA0">
                        <w:pPr>
                          <w:spacing w:after="92" w:line="216" w:lineRule="auto"/>
                          <w:jc w:val="center"/>
                          <w:rPr>
                            <w:rFonts w:hAnsi="Aptos"/>
                            <w:b/>
                            <w:color w:val="FFFFFF" w:themeColor="background1"/>
                            <w:kern w:val="24"/>
                            <w:sz w:val="22"/>
                            <w:szCs w:val="22"/>
                          </w:rPr>
                        </w:pPr>
                        <w:r>
                          <w:rPr>
                            <w:rFonts w:hAnsi="Aptos"/>
                            <w:b/>
                            <w:color w:val="FFFFFF" w:themeColor="background1"/>
                            <w:kern w:val="24"/>
                            <w:sz w:val="22"/>
                            <w:szCs w:val="22"/>
                          </w:rPr>
                          <w:t>Adaptive Capacity</w:t>
                        </w:r>
                      </w:p>
                    </w:txbxContent>
                  </v:textbox>
                </v:rect>
                <w10:anchorlock/>
              </v:group>
            </w:pict>
          </mc:Fallback>
        </mc:AlternateContent>
      </w:r>
    </w:p>
    <w:p w14:paraId="25490E96" w14:textId="0ACA463D" w:rsidR="00AC45D4" w:rsidRPr="00AC45D4" w:rsidRDefault="00AC45D4" w:rsidP="00AC45D4">
      <w:r w:rsidRPr="00AC45D4">
        <w:t>Relevant national, regional and operator arrangements are in place, but gaps remain in local asset-level evidence, cross-sector assessment and arrangements for emerging fuels.</w:t>
      </w:r>
    </w:p>
    <w:p w14:paraId="7EC14D41" w14:textId="0624A105" w:rsidR="00AC45D4" w:rsidRPr="00AC45D4" w:rsidRDefault="00AC45D4" w:rsidP="00AC45D4">
      <w:r w:rsidRPr="00AC45D4">
        <w:t>Northern Gas Networks has risk-based inspections, asset-management plans, a year-round severe-weather procedure, additional and cross-skilled staff, contractor support, winter-equipped vehicles and backup power at strategic sites.</w:t>
      </w:r>
      <w:r w:rsidR="00A26781">
        <w:fldChar w:fldCharType="begin"/>
      </w:r>
      <w:r w:rsidR="00A26781">
        <w:instrText xml:space="preserve"> NOTEREF _Ref241742968 \f \h </w:instrText>
      </w:r>
      <w:r w:rsidR="00A26781">
        <w:fldChar w:fldCharType="separate"/>
      </w:r>
      <w:r w:rsidR="00A26781" w:rsidRPr="00A26781">
        <w:rPr>
          <w:rStyle w:val="FootnoteReference"/>
        </w:rPr>
        <w:t>14</w:t>
      </w:r>
      <w:r w:rsidR="00A26781">
        <w:fldChar w:fldCharType="end"/>
      </w:r>
      <w:r w:rsidRPr="00AC45D4">
        <w:t xml:space="preserve"> It also monitors watercourse crossings and manages vegetation around exposed compounds.</w:t>
      </w:r>
      <w:r w:rsidR="00532385">
        <w:fldChar w:fldCharType="begin"/>
      </w:r>
      <w:r w:rsidR="00532385">
        <w:instrText xml:space="preserve"> NOTEREF _Ref241684655 \f \h </w:instrText>
      </w:r>
      <w:r w:rsidR="00532385">
        <w:fldChar w:fldCharType="separate"/>
      </w:r>
      <w:r w:rsidR="00C84014" w:rsidRPr="00C84014">
        <w:rPr>
          <w:rStyle w:val="FootnoteReference"/>
        </w:rPr>
        <w:t>12</w:t>
      </w:r>
      <w:r w:rsidR="00532385">
        <w:fldChar w:fldCharType="end"/>
      </w:r>
      <w:r w:rsidRPr="00AC45D4">
        <w:t xml:space="preserve"> Following Storm Arwen, it increased backup-generation provision at key facilities.  National Gas is undertaking site-specific climate assessments, flood-risk reviews and river-scour modelling for transmission infrastructure.</w:t>
      </w:r>
      <w:r w:rsidR="00A26781">
        <w:fldChar w:fldCharType="begin"/>
      </w:r>
      <w:r w:rsidR="00A26781">
        <w:instrText xml:space="preserve"> NOTEREF _Ref241742968 \f \h </w:instrText>
      </w:r>
      <w:r w:rsidR="00A26781">
        <w:fldChar w:fldCharType="separate"/>
      </w:r>
      <w:r w:rsidR="00A26781" w:rsidRPr="00A26781">
        <w:rPr>
          <w:rStyle w:val="FootnoteReference"/>
        </w:rPr>
        <w:t>14</w:t>
      </w:r>
      <w:r w:rsidR="00A26781">
        <w:fldChar w:fldCharType="end"/>
      </w:r>
      <w:r w:rsidRPr="00AC45D4">
        <w:t xml:space="preserve">  Ofgem requires network companies to produce climate-resilience strategies and report progress, while acknowledging gaps in whole-system resilience, consistent stress testing and links between long-term risk and investment decisions.</w:t>
      </w:r>
      <w:r w:rsidR="009A121B">
        <w:rPr>
          <w:rStyle w:val="FootnoteReference"/>
        </w:rPr>
        <w:footnoteReference w:id="17"/>
      </w:r>
      <w:r w:rsidRPr="00AC45D4">
        <w:t xml:space="preserve"> </w:t>
      </w:r>
    </w:p>
    <w:p w14:paraId="58BDC2BA" w14:textId="1D5A3F6F" w:rsidR="00AC45D4" w:rsidRDefault="00AC45D4" w:rsidP="00AC45D4">
      <w:r w:rsidRPr="00AC45D4">
        <w:lastRenderedPageBreak/>
        <w:t xml:space="preserve">Emergency arrangements provide further capacity. </w:t>
      </w:r>
      <w:r w:rsidR="00023F80">
        <w:t xml:space="preserve">The Government’s </w:t>
      </w:r>
      <w:r w:rsidRPr="00AC45D4">
        <w:t>National Emergency Plan for Fuel</w:t>
      </w:r>
      <w:r w:rsidR="00023F80">
        <w:rPr>
          <w:rStyle w:val="FootnoteReference"/>
        </w:rPr>
        <w:footnoteReference w:id="18"/>
      </w:r>
      <w:r w:rsidR="00023F80">
        <w:t xml:space="preserve"> </w:t>
      </w:r>
      <w:r w:rsidRPr="00AC45D4">
        <w:t>sets out government options for maintaining essential services during major fuel disruption.  Locally, West Yorkshire Prepared has a regional Fuel Disruption Plan and mutual-aid arrangements</w:t>
      </w:r>
      <w:r w:rsidR="00211D8C">
        <w:rPr>
          <w:rStyle w:val="FootnoteReference"/>
        </w:rPr>
        <w:footnoteReference w:id="19"/>
      </w:r>
      <w:r w:rsidRPr="00AC45D4">
        <w:t>, while its Community Risk Register describes multi-agency severe-weather planning, testing and public business-continuity advice.</w:t>
      </w:r>
      <w:r w:rsidR="00211D8C">
        <w:rPr>
          <w:rStyle w:val="FootnoteReference"/>
        </w:rPr>
        <w:footnoteReference w:id="20"/>
      </w:r>
      <w:r w:rsidRPr="00AC45D4">
        <w:t xml:space="preserve"> </w:t>
      </w:r>
    </w:p>
    <w:p w14:paraId="6E94D1AD" w14:textId="1027E11A" w:rsidR="004706BD" w:rsidRPr="004706BD" w:rsidRDefault="004706BD" w:rsidP="00AC45D4">
      <w:pPr>
        <w:rPr>
          <w:lang w:val="en-GB"/>
        </w:rPr>
      </w:pPr>
      <w:r w:rsidRPr="004706BD">
        <w:rPr>
          <w:lang w:val="en-GB"/>
        </w:rPr>
        <w:t>National arrangements are intended to support the response to major disruption, but organisations remain responsible for maintaining their own business-continuity arrangements. Government guidance recommends that public, private and voluntary organisations plan for fuel disruption, maintain their arrangements and exercise them regularly.</w:t>
      </w:r>
      <w:r>
        <w:rPr>
          <w:rStyle w:val="FootnoteReference"/>
          <w:lang w:val="en-GB"/>
        </w:rPr>
        <w:footnoteReference w:id="21"/>
      </w:r>
      <w:r w:rsidR="008972DA" w:rsidRPr="00D50F84">
        <w:rPr>
          <w:vertAlign w:val="superscript"/>
          <w:lang w:val="en-GB"/>
        </w:rPr>
        <w:t>,</w:t>
      </w:r>
      <w:r w:rsidR="008972DA">
        <w:rPr>
          <w:lang w:val="en-GB"/>
        </w:rPr>
        <w:t xml:space="preserve"> </w:t>
      </w:r>
      <w:r w:rsidR="008972DA">
        <w:rPr>
          <w:rStyle w:val="FootnoteReference"/>
          <w:lang w:val="en-GB"/>
        </w:rPr>
        <w:footnoteReference w:id="22"/>
      </w:r>
    </w:p>
    <w:p w14:paraId="02E44D30" w14:textId="16FFD7C3" w:rsidR="00AC45D4" w:rsidRPr="00AC45D4" w:rsidRDefault="00AC45D4" w:rsidP="00AC45D4">
      <w:r w:rsidRPr="00AC45D4">
        <w:t xml:space="preserve">The Combined Authority’s climate </w:t>
      </w:r>
      <w:r w:rsidR="00F93A51">
        <w:t xml:space="preserve">and environment </w:t>
      </w:r>
      <w:r w:rsidRPr="00AC45D4">
        <w:t xml:space="preserve">plan supports Local Area Energy Plans, flood-management </w:t>
      </w:r>
      <w:proofErr w:type="spellStart"/>
      <w:r w:rsidRPr="00AC45D4">
        <w:t>programmes</w:t>
      </w:r>
      <w:proofErr w:type="spellEnd"/>
      <w:r w:rsidRPr="00AC45D4">
        <w:t>, hydrogen research and a strategic energy-project pipeline.</w:t>
      </w:r>
      <w:r w:rsidR="0075326F">
        <w:rPr>
          <w:rStyle w:val="FootnoteReference"/>
        </w:rPr>
        <w:footnoteReference w:id="23"/>
      </w:r>
      <w:r w:rsidRPr="00AC45D4">
        <w:t xml:space="preserve">  Local flood strategies and planning policies in Bradford, Calderdale, Kirklees, Leeds and Wakefield also reduce risks to new development and transport infrastructure.</w:t>
      </w:r>
      <w:r w:rsidR="00FA7196">
        <w:fldChar w:fldCharType="begin"/>
      </w:r>
      <w:r w:rsidR="00FA7196">
        <w:instrText xml:space="preserve"> NOTEREF _Ref241697769 \f \h </w:instrText>
      </w:r>
      <w:r w:rsidR="00FA7196">
        <w:fldChar w:fldCharType="separate"/>
      </w:r>
      <w:r w:rsidR="00C84014" w:rsidRPr="00C84014">
        <w:rPr>
          <w:rStyle w:val="FootnoteReference"/>
        </w:rPr>
        <w:t>10</w:t>
      </w:r>
      <w:r w:rsidR="00FA7196">
        <w:fldChar w:fldCharType="end"/>
      </w:r>
      <w:r w:rsidR="00FA7196" w:rsidRPr="009B7F24">
        <w:rPr>
          <w:vertAlign w:val="superscript"/>
        </w:rPr>
        <w:t>,</w:t>
      </w:r>
      <w:r w:rsidR="00FA7196">
        <w:fldChar w:fldCharType="begin"/>
      </w:r>
      <w:r w:rsidR="00FA7196">
        <w:instrText xml:space="preserve"> NOTEREF _Ref241697772 \f \h </w:instrText>
      </w:r>
      <w:r w:rsidR="00FA7196">
        <w:fldChar w:fldCharType="separate"/>
      </w:r>
      <w:r w:rsidR="00C84014" w:rsidRPr="00C84014">
        <w:rPr>
          <w:rStyle w:val="FootnoteReference"/>
        </w:rPr>
        <w:t>11</w:t>
      </w:r>
      <w:r w:rsidR="00FA7196">
        <w:fldChar w:fldCharType="end"/>
      </w:r>
      <w:r w:rsidR="00FA7196" w:rsidRPr="009B7F24">
        <w:rPr>
          <w:vertAlign w:val="superscript"/>
        </w:rPr>
        <w:t>,</w:t>
      </w:r>
      <w:r w:rsidR="00FA7196">
        <w:fldChar w:fldCharType="begin"/>
      </w:r>
      <w:r w:rsidR="00FA7196">
        <w:instrText xml:space="preserve"> NOTEREF _Ref241579864 \f \h </w:instrText>
      </w:r>
      <w:r w:rsidR="00FA7196">
        <w:fldChar w:fldCharType="separate"/>
      </w:r>
      <w:r w:rsidR="00C84014" w:rsidRPr="00C84014">
        <w:rPr>
          <w:rStyle w:val="FootnoteReference"/>
        </w:rPr>
        <w:t>7</w:t>
      </w:r>
      <w:r w:rsidR="00FA7196">
        <w:fldChar w:fldCharType="end"/>
      </w:r>
      <w:r w:rsidR="00FA7196" w:rsidRPr="009B7F24">
        <w:rPr>
          <w:vertAlign w:val="superscript"/>
        </w:rPr>
        <w:t>,</w:t>
      </w:r>
      <w:r w:rsidR="00FA7196">
        <w:fldChar w:fldCharType="begin"/>
      </w:r>
      <w:r w:rsidR="00FA7196">
        <w:instrText xml:space="preserve"> NOTEREF _Ref241579866 \f \h </w:instrText>
      </w:r>
      <w:r w:rsidR="00FA7196">
        <w:fldChar w:fldCharType="separate"/>
      </w:r>
      <w:r w:rsidR="00C84014" w:rsidRPr="00C84014">
        <w:rPr>
          <w:rStyle w:val="FootnoteReference"/>
        </w:rPr>
        <w:t>8</w:t>
      </w:r>
      <w:r w:rsidR="00FA7196">
        <w:fldChar w:fldCharType="end"/>
      </w:r>
      <w:r w:rsidR="00FA7196" w:rsidRPr="009B7F24">
        <w:rPr>
          <w:vertAlign w:val="superscript"/>
        </w:rPr>
        <w:t>,</w:t>
      </w:r>
      <w:r w:rsidR="00FA7196">
        <w:fldChar w:fldCharType="begin"/>
      </w:r>
      <w:r w:rsidR="00FA7196">
        <w:instrText xml:space="preserve"> NOTEREF _Ref241697777 \f \h </w:instrText>
      </w:r>
      <w:r w:rsidR="00FA7196">
        <w:fldChar w:fldCharType="separate"/>
      </w:r>
      <w:r w:rsidR="00C84014" w:rsidRPr="00C84014">
        <w:rPr>
          <w:rStyle w:val="FootnoteReference"/>
        </w:rPr>
        <w:t>9</w:t>
      </w:r>
      <w:r w:rsidR="00FA7196">
        <w:fldChar w:fldCharType="end"/>
      </w:r>
      <w:r w:rsidR="009B7F24" w:rsidRPr="009B7F24">
        <w:rPr>
          <w:vertAlign w:val="superscript"/>
        </w:rPr>
        <w:t xml:space="preserve"> </w:t>
      </w:r>
      <w:r w:rsidRPr="00AC45D4">
        <w:t xml:space="preserve"> However, they do not generally address fuel supply assets directly</w:t>
      </w:r>
      <w:r w:rsidR="009B7F24">
        <w:t>.</w:t>
      </w:r>
    </w:p>
    <w:p w14:paraId="0B71E855" w14:textId="0DA60358" w:rsidR="00AC45D4" w:rsidRPr="00AC45D4" w:rsidRDefault="009B7F24" w:rsidP="00AC45D4">
      <w:r>
        <w:t xml:space="preserve">A key gap is the </w:t>
      </w:r>
      <w:r w:rsidR="00AC45D4" w:rsidRPr="00AC45D4">
        <w:t xml:space="preserve">absence of a shared map of critical fuel assets and access routes; limited public information on liquid-fuel infrastructure; uncertain resilience requirements for new hydrogen assets; and incomplete analysis of simultaneous failures in fuel, electricity, telecommunications and transport. </w:t>
      </w:r>
    </w:p>
    <w:p w14:paraId="6083C325" w14:textId="2BEAB9B5" w:rsidR="00DB568D" w:rsidRDefault="00DB568D" w:rsidP="00DB568D">
      <w:pPr>
        <w:rPr>
          <w:lang w:val="en-GB"/>
        </w:rPr>
      </w:pPr>
    </w:p>
    <w:p w14:paraId="1B4AD623" w14:textId="77777777" w:rsidR="00A52039" w:rsidRDefault="00A52039">
      <w:pPr>
        <w:rPr>
          <w:rFonts w:asciiTheme="majorHAnsi" w:eastAsiaTheme="majorEastAsia" w:hAnsiTheme="majorHAnsi" w:cstheme="majorBidi"/>
          <w:color w:val="3E706C" w:themeColor="accent1" w:themeShade="BF"/>
          <w:kern w:val="2"/>
          <w:sz w:val="40"/>
          <w:szCs w:val="40"/>
          <w:lang w:val="en-GB" w:eastAsia="en-US"/>
          <w14:ligatures w14:val="standardContextual"/>
        </w:rPr>
      </w:pPr>
      <w:r>
        <w:br w:type="page"/>
      </w:r>
    </w:p>
    <w:p w14:paraId="49491FF9" w14:textId="3D37A893" w:rsidR="00544ADD" w:rsidRDefault="00544ADD" w:rsidP="00904F74">
      <w:pPr>
        <w:pStyle w:val="Heading1"/>
      </w:pPr>
      <w:bookmarkStart w:id="9" w:name="_Ref240961110"/>
      <w:r>
        <w:lastRenderedPageBreak/>
        <w:t>Annex: Scoring Matrix</w:t>
      </w:r>
      <w:bookmarkEnd w:id="9"/>
    </w:p>
    <w:p w14:paraId="2B0A4505" w14:textId="755A515C" w:rsidR="00767BEC" w:rsidRDefault="00767BEC" w:rsidP="00767BEC">
      <w:r>
        <w:t>The scoring methodology uses the following formula to calculate overall vulnerability for each risk/opportunity area.</w:t>
      </w:r>
    </w:p>
    <w:p w14:paraId="46943FE9" w14:textId="341187CC" w:rsidR="00CF6FA0" w:rsidRDefault="00CF6FA0" w:rsidP="00767BEC">
      <w:r w:rsidRPr="00CF6FA0">
        <w:rPr>
          <w:noProof/>
        </w:rPr>
        <mc:AlternateContent>
          <mc:Choice Requires="wpg">
            <w:drawing>
              <wp:inline distT="0" distB="0" distL="0" distR="0" wp14:anchorId="1F937620" wp14:editId="555CC75F">
                <wp:extent cx="5555226" cy="812990"/>
                <wp:effectExtent l="0" t="0" r="26670" b="25400"/>
                <wp:docPr id="66" name="Group 65">
                  <a:extLst xmlns:a="http://schemas.openxmlformats.org/drawingml/2006/main">
                    <a:ext uri="{FF2B5EF4-FFF2-40B4-BE49-F238E27FC236}">
                      <a16:creationId xmlns:a16="http://schemas.microsoft.com/office/drawing/2014/main" id="{A00B9FCA-1514-6A3D-63A3-7AE94BE43123}"/>
                    </a:ext>
                  </a:extLst>
                </wp:docPr>
                <wp:cNvGraphicFramePr/>
                <a:graphic xmlns:a="http://schemas.openxmlformats.org/drawingml/2006/main">
                  <a:graphicData uri="http://schemas.microsoft.com/office/word/2010/wordprocessingGroup">
                    <wpg:wgp>
                      <wpg:cNvGrpSpPr/>
                      <wpg:grpSpPr>
                        <a:xfrm>
                          <a:off x="0" y="0"/>
                          <a:ext cx="5555226" cy="812990"/>
                          <a:chOff x="0" y="0"/>
                          <a:chExt cx="5555226" cy="812990"/>
                        </a:xfrm>
                      </wpg:grpSpPr>
                      <wps:wsp>
                        <wps:cNvPr id="908785896" name="Rectangle 908785896">
                          <a:extLst>
                            <a:ext uri="{FF2B5EF4-FFF2-40B4-BE49-F238E27FC236}">
                              <a16:creationId xmlns:a16="http://schemas.microsoft.com/office/drawing/2014/main" id="{D5EED331-1BFC-9DCE-B3D3-C4FDF5DBEBAC}"/>
                            </a:ext>
                          </a:extLst>
                        </wps:cNvPr>
                        <wps:cNvSpPr/>
                        <wps:spPr>
                          <a:xfrm>
                            <a:off x="0" y="0"/>
                            <a:ext cx="5555226" cy="812990"/>
                          </a:xfrm>
                          <a:prstGeom prst="rect">
                            <a:avLst/>
                          </a:prstGeom>
                          <a:solidFill>
                            <a:srgbClr val="DBEBEA"/>
                          </a:solidFill>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233195421" name="Freeform: Shape 233195421">
                          <a:extLst>
                            <a:ext uri="{FF2B5EF4-FFF2-40B4-BE49-F238E27FC236}">
                              <a16:creationId xmlns:a16="http://schemas.microsoft.com/office/drawing/2014/main" id="{4446F68B-A691-95BE-D48F-39A00D15E5EA}"/>
                            </a:ext>
                          </a:extLst>
                        </wps:cNvPr>
                        <wps:cNvSpPr/>
                        <wps:spPr>
                          <a:xfrm>
                            <a:off x="1109171" y="175293"/>
                            <a:ext cx="462404" cy="462404"/>
                          </a:xfrm>
                          <a:custGeom>
                            <a:avLst/>
                            <a:gdLst>
                              <a:gd name="csX0" fmla="*/ 85519 w 645180"/>
                              <a:gd name="csY0" fmla="*/ 246717 h 645180"/>
                              <a:gd name="csX1" fmla="*/ 246717 w 645180"/>
                              <a:gd name="csY1" fmla="*/ 246717 h 645180"/>
                              <a:gd name="csX2" fmla="*/ 246717 w 645180"/>
                              <a:gd name="csY2" fmla="*/ 85519 h 645180"/>
                              <a:gd name="csX3" fmla="*/ 398463 w 645180"/>
                              <a:gd name="csY3" fmla="*/ 85519 h 645180"/>
                              <a:gd name="csX4" fmla="*/ 398463 w 645180"/>
                              <a:gd name="csY4" fmla="*/ 246717 h 645180"/>
                              <a:gd name="csX5" fmla="*/ 559661 w 645180"/>
                              <a:gd name="csY5" fmla="*/ 246717 h 645180"/>
                              <a:gd name="csX6" fmla="*/ 559661 w 645180"/>
                              <a:gd name="csY6" fmla="*/ 398463 h 645180"/>
                              <a:gd name="csX7" fmla="*/ 398463 w 645180"/>
                              <a:gd name="csY7" fmla="*/ 398463 h 645180"/>
                              <a:gd name="csX8" fmla="*/ 398463 w 645180"/>
                              <a:gd name="csY8" fmla="*/ 559661 h 645180"/>
                              <a:gd name="csX9" fmla="*/ 246717 w 645180"/>
                              <a:gd name="csY9" fmla="*/ 559661 h 645180"/>
                              <a:gd name="csX10" fmla="*/ 246717 w 645180"/>
                              <a:gd name="csY10" fmla="*/ 398463 h 645180"/>
                              <a:gd name="csX11" fmla="*/ 85519 w 645180"/>
                              <a:gd name="csY11" fmla="*/ 398463 h 645180"/>
                              <a:gd name="csX12" fmla="*/ 85519 w 645180"/>
                              <a:gd name="csY12" fmla="*/ 246717 h 64518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645180" h="645180">
                                <a:moveTo>
                                  <a:pt x="85519" y="246717"/>
                                </a:moveTo>
                                <a:lnTo>
                                  <a:pt x="246717" y="246717"/>
                                </a:lnTo>
                                <a:lnTo>
                                  <a:pt x="246717" y="85519"/>
                                </a:lnTo>
                                <a:lnTo>
                                  <a:pt x="398463" y="85519"/>
                                </a:lnTo>
                                <a:lnTo>
                                  <a:pt x="398463" y="246717"/>
                                </a:lnTo>
                                <a:lnTo>
                                  <a:pt x="559661" y="246717"/>
                                </a:lnTo>
                                <a:lnTo>
                                  <a:pt x="559661" y="398463"/>
                                </a:lnTo>
                                <a:lnTo>
                                  <a:pt x="398463" y="398463"/>
                                </a:lnTo>
                                <a:lnTo>
                                  <a:pt x="398463" y="559661"/>
                                </a:lnTo>
                                <a:lnTo>
                                  <a:pt x="246717" y="559661"/>
                                </a:lnTo>
                                <a:lnTo>
                                  <a:pt x="246717" y="398463"/>
                                </a:lnTo>
                                <a:lnTo>
                                  <a:pt x="85519" y="398463"/>
                                </a:lnTo>
                                <a:lnTo>
                                  <a:pt x="85519" y="246717"/>
                                </a:lnTo>
                                <a:close/>
                              </a:path>
                            </a:pathLst>
                          </a:custGeom>
                        </wps:spPr>
                        <wps:style>
                          <a:lnRef idx="0">
                            <a:schemeClr val="accent1">
                              <a:tint val="60000"/>
                              <a:hueOff val="0"/>
                              <a:satOff val="0"/>
                              <a:lumOff val="0"/>
                              <a:alphaOff val="0"/>
                            </a:schemeClr>
                          </a:lnRef>
                          <a:fillRef idx="1">
                            <a:schemeClr val="accent1">
                              <a:tint val="60000"/>
                              <a:hueOff val="0"/>
                              <a:satOff val="0"/>
                              <a:lumOff val="0"/>
                              <a:alphaOff val="0"/>
                            </a:schemeClr>
                          </a:fillRef>
                          <a:effectRef idx="0">
                            <a:schemeClr val="accent1">
                              <a:tint val="60000"/>
                              <a:hueOff val="0"/>
                              <a:satOff val="0"/>
                              <a:lumOff val="0"/>
                              <a:alphaOff val="0"/>
                            </a:schemeClr>
                          </a:effectRef>
                          <a:fontRef idx="minor">
                            <a:schemeClr val="lt1"/>
                          </a:fontRef>
                        </wps:style>
                        <wps:bodyPr spcFirstLastPara="0" vert="horz" wrap="square" lIns="85519" tIns="246717" rIns="85519" bIns="246717" numCol="1" spcCol="1270" anchor="ctr" anchorCtr="0">
                          <a:noAutofit/>
                        </wps:bodyPr>
                      </wps:wsp>
                      <wps:wsp>
                        <wps:cNvPr id="538539861" name="Freeform: Shape 538539861">
                          <a:extLst>
                            <a:ext uri="{FF2B5EF4-FFF2-40B4-BE49-F238E27FC236}">
                              <a16:creationId xmlns:a16="http://schemas.microsoft.com/office/drawing/2014/main" id="{7610F756-905C-2013-1835-A5E2C1E95B84}"/>
                            </a:ext>
                          </a:extLst>
                        </wps:cNvPr>
                        <wps:cNvSpPr/>
                        <wps:spPr>
                          <a:xfrm>
                            <a:off x="2561719" y="175293"/>
                            <a:ext cx="462404" cy="462404"/>
                          </a:xfrm>
                          <a:custGeom>
                            <a:avLst/>
                            <a:gdLst>
                              <a:gd name="csX0" fmla="*/ 85519 w 645180"/>
                              <a:gd name="csY0" fmla="*/ 246717 h 645180"/>
                              <a:gd name="csX1" fmla="*/ 559661 w 645180"/>
                              <a:gd name="csY1" fmla="*/ 246717 h 645180"/>
                              <a:gd name="csX2" fmla="*/ 559661 w 645180"/>
                              <a:gd name="csY2" fmla="*/ 398463 h 645180"/>
                              <a:gd name="csX3" fmla="*/ 85519 w 645180"/>
                              <a:gd name="csY3" fmla="*/ 398463 h 645180"/>
                              <a:gd name="csX4" fmla="*/ 85519 w 645180"/>
                              <a:gd name="csY4" fmla="*/ 246717 h 645180"/>
                            </a:gdLst>
                            <a:ahLst/>
                            <a:cxnLst>
                              <a:cxn ang="0">
                                <a:pos x="csX0" y="csY0"/>
                              </a:cxn>
                              <a:cxn ang="0">
                                <a:pos x="csX1" y="csY1"/>
                              </a:cxn>
                              <a:cxn ang="0">
                                <a:pos x="csX2" y="csY2"/>
                              </a:cxn>
                              <a:cxn ang="0">
                                <a:pos x="csX3" y="csY3"/>
                              </a:cxn>
                              <a:cxn ang="0">
                                <a:pos x="csX4" y="csY4"/>
                              </a:cxn>
                            </a:cxnLst>
                            <a:rect l="l" t="t" r="r" b="b"/>
                            <a:pathLst>
                              <a:path w="645180" h="645180">
                                <a:moveTo>
                                  <a:pt x="85519" y="246717"/>
                                </a:moveTo>
                                <a:lnTo>
                                  <a:pt x="559661" y="246717"/>
                                </a:lnTo>
                                <a:lnTo>
                                  <a:pt x="559661" y="398463"/>
                                </a:lnTo>
                                <a:lnTo>
                                  <a:pt x="85519" y="398463"/>
                                </a:lnTo>
                                <a:lnTo>
                                  <a:pt x="85519" y="246717"/>
                                </a:lnTo>
                                <a:close/>
                              </a:path>
                            </a:pathLst>
                          </a:custGeom>
                        </wps:spPr>
                        <wps:style>
                          <a:lnRef idx="0">
                            <a:schemeClr val="accent1">
                              <a:tint val="60000"/>
                              <a:hueOff val="0"/>
                              <a:satOff val="0"/>
                              <a:lumOff val="0"/>
                              <a:alphaOff val="0"/>
                            </a:schemeClr>
                          </a:lnRef>
                          <a:fillRef idx="1">
                            <a:schemeClr val="accent1">
                              <a:tint val="60000"/>
                              <a:hueOff val="0"/>
                              <a:satOff val="0"/>
                              <a:lumOff val="0"/>
                              <a:alphaOff val="0"/>
                            </a:schemeClr>
                          </a:fillRef>
                          <a:effectRef idx="0">
                            <a:schemeClr val="accent1">
                              <a:tint val="60000"/>
                              <a:hueOff val="0"/>
                              <a:satOff val="0"/>
                              <a:lumOff val="0"/>
                              <a:alphaOff val="0"/>
                            </a:schemeClr>
                          </a:effectRef>
                          <a:fontRef idx="minor">
                            <a:schemeClr val="lt1"/>
                          </a:fontRef>
                        </wps:style>
                        <wps:bodyPr spcFirstLastPara="0" vert="horz" wrap="square" lIns="85519" tIns="246717" rIns="85519" bIns="246717" numCol="1" spcCol="1270" anchor="ctr" anchorCtr="0">
                          <a:noAutofit/>
                        </wps:bodyPr>
                      </wps:wsp>
                      <wps:wsp>
                        <wps:cNvPr id="1932102927" name="Freeform: Shape 1932102927">
                          <a:extLst>
                            <a:ext uri="{FF2B5EF4-FFF2-40B4-BE49-F238E27FC236}">
                              <a16:creationId xmlns:a16="http://schemas.microsoft.com/office/drawing/2014/main" id="{AD093F38-814B-E925-7DEA-6FAFED9D91FD}"/>
                            </a:ext>
                          </a:extLst>
                        </wps:cNvPr>
                        <wps:cNvSpPr/>
                        <wps:spPr>
                          <a:xfrm>
                            <a:off x="4014266" y="175293"/>
                            <a:ext cx="462404" cy="462404"/>
                          </a:xfrm>
                          <a:custGeom>
                            <a:avLst/>
                            <a:gdLst>
                              <a:gd name="csX0" fmla="*/ 85519 w 645180"/>
                              <a:gd name="csY0" fmla="*/ 132907 h 645180"/>
                              <a:gd name="csX1" fmla="*/ 559661 w 645180"/>
                              <a:gd name="csY1" fmla="*/ 132907 h 645180"/>
                              <a:gd name="csX2" fmla="*/ 559661 w 645180"/>
                              <a:gd name="csY2" fmla="*/ 284653 h 645180"/>
                              <a:gd name="csX3" fmla="*/ 85519 w 645180"/>
                              <a:gd name="csY3" fmla="*/ 284653 h 645180"/>
                              <a:gd name="csX4" fmla="*/ 85519 w 645180"/>
                              <a:gd name="csY4" fmla="*/ 132907 h 645180"/>
                              <a:gd name="csX5" fmla="*/ 85519 w 645180"/>
                              <a:gd name="csY5" fmla="*/ 360527 h 645180"/>
                              <a:gd name="csX6" fmla="*/ 559661 w 645180"/>
                              <a:gd name="csY6" fmla="*/ 360527 h 645180"/>
                              <a:gd name="csX7" fmla="*/ 559661 w 645180"/>
                              <a:gd name="csY7" fmla="*/ 512273 h 645180"/>
                              <a:gd name="csX8" fmla="*/ 85519 w 645180"/>
                              <a:gd name="csY8" fmla="*/ 512273 h 645180"/>
                              <a:gd name="csX9" fmla="*/ 85519 w 645180"/>
                              <a:gd name="csY9" fmla="*/ 360527 h 64518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645180" h="645180">
                                <a:moveTo>
                                  <a:pt x="85519" y="132907"/>
                                </a:moveTo>
                                <a:lnTo>
                                  <a:pt x="559661" y="132907"/>
                                </a:lnTo>
                                <a:lnTo>
                                  <a:pt x="559661" y="284653"/>
                                </a:lnTo>
                                <a:lnTo>
                                  <a:pt x="85519" y="284653"/>
                                </a:lnTo>
                                <a:lnTo>
                                  <a:pt x="85519" y="132907"/>
                                </a:lnTo>
                                <a:close/>
                                <a:moveTo>
                                  <a:pt x="85519" y="360527"/>
                                </a:moveTo>
                                <a:lnTo>
                                  <a:pt x="559661" y="360527"/>
                                </a:lnTo>
                                <a:lnTo>
                                  <a:pt x="559661" y="512273"/>
                                </a:lnTo>
                                <a:lnTo>
                                  <a:pt x="85519" y="512273"/>
                                </a:lnTo>
                                <a:lnTo>
                                  <a:pt x="85519" y="360527"/>
                                </a:lnTo>
                                <a:close/>
                              </a:path>
                            </a:pathLst>
                          </a:custGeom>
                        </wps:spPr>
                        <wps:style>
                          <a:lnRef idx="0">
                            <a:schemeClr val="accent1">
                              <a:tint val="60000"/>
                              <a:hueOff val="0"/>
                              <a:satOff val="0"/>
                              <a:lumOff val="0"/>
                              <a:alphaOff val="0"/>
                            </a:schemeClr>
                          </a:lnRef>
                          <a:fillRef idx="1">
                            <a:schemeClr val="accent1">
                              <a:tint val="60000"/>
                              <a:hueOff val="0"/>
                              <a:satOff val="0"/>
                              <a:lumOff val="0"/>
                              <a:alphaOff val="0"/>
                            </a:schemeClr>
                          </a:fillRef>
                          <a:effectRef idx="0">
                            <a:schemeClr val="accent1">
                              <a:tint val="60000"/>
                              <a:hueOff val="0"/>
                              <a:satOff val="0"/>
                              <a:lumOff val="0"/>
                              <a:alphaOff val="0"/>
                            </a:schemeClr>
                          </a:effectRef>
                          <a:fontRef idx="minor">
                            <a:schemeClr val="lt1"/>
                          </a:fontRef>
                        </wps:style>
                        <wps:bodyPr spcFirstLastPara="0" vert="horz" wrap="square" lIns="85519" tIns="132907" rIns="85519" bIns="132907" numCol="1" spcCol="1270" anchor="ctr" anchorCtr="0">
                          <a:noAutofit/>
                        </wps:bodyPr>
                      </wps:wsp>
                      <wps:wsp>
                        <wps:cNvPr id="290703544" name="Rectangle 290703544">
                          <a:extLst>
                            <a:ext uri="{FF2B5EF4-FFF2-40B4-BE49-F238E27FC236}">
                              <a16:creationId xmlns:a16="http://schemas.microsoft.com/office/drawing/2014/main" id="{701DF5FB-77F2-B92B-CEE4-62315B47D559}"/>
                            </a:ext>
                          </a:extLst>
                        </wps:cNvPr>
                        <wps:cNvSpPr/>
                        <wps:spPr>
                          <a:xfrm>
                            <a:off x="118713" y="153857"/>
                            <a:ext cx="990773" cy="505276"/>
                          </a:xfrm>
                          <a:prstGeom prst="rect">
                            <a:avLst/>
                          </a:prstGeom>
                          <a:solidFill>
                            <a:srgbClr val="47928D"/>
                          </a:solidFill>
                          <a:ln w="12700">
                            <a:solidFill>
                              <a:schemeClr val="bg1"/>
                            </a:solidFill>
                          </a:ln>
                        </wps:spPr>
                        <wps:style>
                          <a:lnRef idx="3">
                            <a:schemeClr val="lt1"/>
                          </a:lnRef>
                          <a:fillRef idx="1">
                            <a:schemeClr val="accent2"/>
                          </a:fillRef>
                          <a:effectRef idx="1">
                            <a:schemeClr val="accent2"/>
                          </a:effectRef>
                          <a:fontRef idx="minor">
                            <a:schemeClr val="lt1"/>
                          </a:fontRef>
                        </wps:style>
                        <wps:txbx>
                          <w:txbxContent>
                            <w:p w14:paraId="78E8CC42" w14:textId="77777777" w:rsidR="00CF6FA0" w:rsidRDefault="00CF6FA0" w:rsidP="00CF6FA0">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Exposure</w:t>
                              </w:r>
                            </w:p>
                          </w:txbxContent>
                        </wps:txbx>
                        <wps:bodyPr spcFirstLastPara="0" vert="horz" wrap="square" lIns="72082" tIns="72082" rIns="72082" bIns="72082" numCol="1" spcCol="1270" anchor="ctr" anchorCtr="0">
                          <a:noAutofit/>
                        </wps:bodyPr>
                      </wps:wsp>
                      <wps:wsp>
                        <wps:cNvPr id="1647103832" name="Rectangle 1647103832">
                          <a:extLst>
                            <a:ext uri="{FF2B5EF4-FFF2-40B4-BE49-F238E27FC236}">
                              <a16:creationId xmlns:a16="http://schemas.microsoft.com/office/drawing/2014/main" id="{5367C04A-27EF-5B51-3191-B04D0CDC08F7}"/>
                            </a:ext>
                          </a:extLst>
                        </wps:cNvPr>
                        <wps:cNvSpPr/>
                        <wps:spPr>
                          <a:xfrm>
                            <a:off x="1571260" y="153857"/>
                            <a:ext cx="990773" cy="505276"/>
                          </a:xfrm>
                          <a:prstGeom prst="rect">
                            <a:avLst/>
                          </a:prstGeom>
                          <a:solidFill>
                            <a:srgbClr val="47928D"/>
                          </a:solidFill>
                          <a:ln w="12700">
                            <a:solidFill>
                              <a:schemeClr val="bg1"/>
                            </a:solidFill>
                          </a:ln>
                        </wps:spPr>
                        <wps:style>
                          <a:lnRef idx="2">
                            <a:schemeClr val="lt1">
                              <a:hueOff val="0"/>
                              <a:satOff val="0"/>
                              <a:lumOff val="0"/>
                              <a:alphaOff val="0"/>
                            </a:schemeClr>
                          </a:lnRef>
                          <a:fillRef idx="1">
                            <a:schemeClr val="accent1">
                              <a:hueOff val="0"/>
                              <a:satOff val="0"/>
                              <a:lumOff val="0"/>
                              <a:alphaOff val="0"/>
                            </a:schemeClr>
                          </a:fillRef>
                          <a:effectRef idx="0">
                            <a:schemeClr val="accent1">
                              <a:hueOff val="0"/>
                              <a:satOff val="0"/>
                              <a:lumOff val="0"/>
                              <a:alphaOff val="0"/>
                            </a:schemeClr>
                          </a:effectRef>
                          <a:fontRef idx="minor">
                            <a:schemeClr val="lt1"/>
                          </a:fontRef>
                        </wps:style>
                        <wps:txbx>
                          <w:txbxContent>
                            <w:p w14:paraId="5A055201" w14:textId="77777777" w:rsidR="00CF6FA0" w:rsidRDefault="00CF6FA0" w:rsidP="00CF6FA0">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Sensitivity</w:t>
                              </w:r>
                            </w:p>
                          </w:txbxContent>
                        </wps:txbx>
                        <wps:bodyPr spcFirstLastPara="0" vert="horz" wrap="square" lIns="72082" tIns="72082" rIns="72082" bIns="72082" numCol="1" spcCol="1270" anchor="ctr" anchorCtr="0">
                          <a:noAutofit/>
                        </wps:bodyPr>
                      </wps:wsp>
                      <wps:wsp>
                        <wps:cNvPr id="143056867" name="Rectangle 143056867">
                          <a:extLst>
                            <a:ext uri="{FF2B5EF4-FFF2-40B4-BE49-F238E27FC236}">
                              <a16:creationId xmlns:a16="http://schemas.microsoft.com/office/drawing/2014/main" id="{9C22BAA0-C828-5967-8774-82F4D8B4E963}"/>
                            </a:ext>
                          </a:extLst>
                        </wps:cNvPr>
                        <wps:cNvSpPr/>
                        <wps:spPr>
                          <a:xfrm>
                            <a:off x="3023808" y="153857"/>
                            <a:ext cx="990773" cy="505276"/>
                          </a:xfrm>
                          <a:prstGeom prst="rect">
                            <a:avLst/>
                          </a:prstGeom>
                          <a:solidFill>
                            <a:srgbClr val="47928D"/>
                          </a:solidFill>
                          <a:ln w="12700">
                            <a:solidFill>
                              <a:schemeClr val="bg1"/>
                            </a:solidFill>
                          </a:ln>
                        </wps:spPr>
                        <wps:style>
                          <a:lnRef idx="3">
                            <a:schemeClr val="lt1"/>
                          </a:lnRef>
                          <a:fillRef idx="1">
                            <a:schemeClr val="accent3"/>
                          </a:fillRef>
                          <a:effectRef idx="1">
                            <a:schemeClr val="accent3"/>
                          </a:effectRef>
                          <a:fontRef idx="minor">
                            <a:schemeClr val="lt1"/>
                          </a:fontRef>
                        </wps:style>
                        <wps:txbx>
                          <w:txbxContent>
                            <w:p w14:paraId="29EBF761" w14:textId="77777777" w:rsidR="00CF6FA0" w:rsidRDefault="00CF6FA0" w:rsidP="00CF6FA0">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Adaptive Capacity</w:t>
                              </w:r>
                            </w:p>
                          </w:txbxContent>
                        </wps:txbx>
                        <wps:bodyPr spcFirstLastPara="0" vert="horz" wrap="square" lIns="72082" tIns="72082" rIns="72082" bIns="72082" numCol="1" spcCol="1270" anchor="ctr" anchorCtr="0">
                          <a:noAutofit/>
                        </wps:bodyPr>
                      </wps:wsp>
                      <wps:wsp>
                        <wps:cNvPr id="1056809561" name="Rectangle 1056809561">
                          <a:extLst>
                            <a:ext uri="{FF2B5EF4-FFF2-40B4-BE49-F238E27FC236}">
                              <a16:creationId xmlns:a16="http://schemas.microsoft.com/office/drawing/2014/main" id="{76076672-7CBD-9103-CC42-EB2AE9915CE6}"/>
                            </a:ext>
                          </a:extLst>
                        </wps:cNvPr>
                        <wps:cNvSpPr/>
                        <wps:spPr>
                          <a:xfrm>
                            <a:off x="4476354" y="153857"/>
                            <a:ext cx="990382" cy="505276"/>
                          </a:xfrm>
                          <a:prstGeom prst="rect">
                            <a:avLst/>
                          </a:prstGeom>
                          <a:solidFill>
                            <a:srgbClr val="47928D"/>
                          </a:solidFill>
                          <a:ln w="12700">
                            <a:solidFill>
                              <a:schemeClr val="bg1"/>
                            </a:solidFill>
                          </a:ln>
                        </wps:spPr>
                        <wps:style>
                          <a:lnRef idx="3">
                            <a:schemeClr val="lt1"/>
                          </a:lnRef>
                          <a:fillRef idx="1">
                            <a:schemeClr val="accent2"/>
                          </a:fillRef>
                          <a:effectRef idx="1">
                            <a:schemeClr val="accent2"/>
                          </a:effectRef>
                          <a:fontRef idx="minor">
                            <a:schemeClr val="lt1"/>
                          </a:fontRef>
                        </wps:style>
                        <wps:txbx>
                          <w:txbxContent>
                            <w:p w14:paraId="6A1BBC0D" w14:textId="77777777" w:rsidR="00CF6FA0" w:rsidRDefault="00CF6FA0" w:rsidP="00CF6FA0">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Overall Vulnerability</w:t>
                              </w:r>
                            </w:p>
                          </w:txbxContent>
                        </wps:txbx>
                        <wps:bodyPr spcFirstLastPara="0" vert="horz" wrap="square" lIns="72082" tIns="72082" rIns="72082" bIns="72082" numCol="1" spcCol="1270" anchor="ctr" anchorCtr="0">
                          <a:noAutofit/>
                        </wps:bodyPr>
                      </wps:wsp>
                    </wpg:wgp>
                  </a:graphicData>
                </a:graphic>
              </wp:inline>
            </w:drawing>
          </mc:Choice>
          <mc:Fallback>
            <w:pict>
              <v:group w14:anchorId="1F937620" id="Group 65" o:spid="_x0000_s1051" style="width:437.4pt;height:64pt;mso-position-horizontal-relative:char;mso-position-vertical-relative:line" coordsize="55552,81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bdUipgcAAGU3AAAOAAAAZHJzL2Uyb0RvYy54bWzsW91v2zgMfz/g/gfDjwfcYvnbwdJhW9fh&#10;gOFu2HbA9qg6zgfgr7Odpt1ff5Qo2UrrWPa6dluRPjS29SNF0SRDUsrzF9dZalwlVb0t8oVJnlmm&#10;keRxsdzm64X576eLP0PTqBuaL2la5MnCvElq88XZ778935fzxC42RbpMKgOY5PV8Xy7MTdOU89ms&#10;jjdJRutnRZnkMLgqqow2cFutZ8uK7oF7ls5sy/Jn+6JallURJ3UNT89x0Dzj/FerJG7+Wa3qpDHS&#10;hQmyNfx/xf9fsv+zs+d0vq5oudnGQgz6DVJkdJvDpC2rc9pQY1dt77DKtnFV1MWqeRYX2axYrbZx&#10;wtcAqyHWrdW8rYpdydeynu/XZasmUO0tPX0z2/jvq7dV+bF8X4Em9uUadMHv2FquV1XGPkFK45qr&#10;7KZVWXLdGDE89ODPtn3TiGEsJHYUCZ3GG1D8HbJ482aYcCannR0Isy/BPOpOA/X9NPBxQ8uEK7ae&#10;gwbeV8Z2uTAjKwxCL4xgNTnNwFg/gPnQfJ0mRjfE1cSpWqXV8xr0d0+NtQun87Kqm7dJkRnsYmFW&#10;IAW3LXr1rm5gfoBKCJu0LtLt8mKbpvymWl++TivjioLBn7968+rNS2bjQKLAQLdSZn7V3KQJI07z&#10;D8kKVAHv1eYzcjdMWn40jpO8ITi0ocsEpyGeZfG3zmZhjsso+JycIeO8AvFa3oKBRCITyRuFFXhG&#10;mnAvbomtIcGQuKXgMxd50xJn27yo+hiksCoxM+JBfEU17PKyWN6AoVRN+rrAYELzeFNALImbihMz&#10;FBgp86NHsFbbcUjkuTaR1npRJQkLlHODm7fRAWBlTCSwdL3NEmJFJACm4M8k8OzIYWuD1yD81vVt&#10;13LR38U1Kk5Gi3iH1suIpMVCXFyC7bJH66Vwrrj+DAF5laUQb/+YGaHnkcjYG77rkVDG5Q77RcXa&#10;rh+QwNgcA38G8VvGAnyccw/4OGd7CmcVjOs7zthRGDtR6PrOgDJUsI4xvKtWF1rGKlirZU/h7HmR&#10;75MBkVWwljNE4FZmLWcVLBZ4XM2BwlmrjR7wcc6Q6LQyazmrYLHA45wjhbPWmlWwljPp8aoBR1HR&#10;Wk0T1a903n0A1rO+61gDUqvgHsuDL602ONENfsPSeXydi4AFVwYkASzzYfGrLGqW1WD0ghgZ1xCa&#10;MAICkiGOEmBQBQL5XaMjAMlxBnvkDBAXkIAHbViZbgbwdyRwR84AbowE3kgC8E4k8EcSgNMhQTCS&#10;AHwJCcKRBOAiSBCNJGBughRwNfJddy977Nsm7euGK2UWfI3CGlkyyGqZlNcyjWlA/lGZBtQyl4wG&#10;7JM2zIjlpbFfmOIr1di0l2w0K66STwXHNcyiuYvydaKTCBE6WJqrcAFiejnAS5T8LDlzBY3z4Pok&#10;SH4iGP2fizIJPEIOjIh3VykFkJ8oiIIWMo0UexpaTDPEW9HfNPQISboXPwncq+04LeoEF8IMEWsV&#10;aZHMkNvkcEQNMpjqM8NttnmD1YMPFYhIGje7hFWevAASj2rKugAHj9JddvsRTcsNPXwIEt+7oPkx&#10;gn5jAfVjhH3Qgq0u44stFNLvaN28pxVUGxDNoWMFlTVUb19NYw/dn4VZ/7ejVWIa6V85NBeETzT8&#10;RjpfpQ5dHgzlu4xXhRD1YT68tAOYSK0Rxc3rBmI22nZevNw1xWrLq/quyBTF5+PVkp4TeuD8PoiP&#10;nY/btWQHAOceXUvang+lJH7dPolaEmPvQJUDCmyLADSbgSpVTUy1nFUwxukBznfrw+P5sYrVMlbr&#10;Q+4jA7pQsT26gNh6yru/HOTdP2emJxKOkZmegp6UTkwCn3KPtqU52Ez9MV/np9xDNotPuYe6Ode/&#10;60IixyaWHdlQ+PcnHwpiSvbhWsS1few//KzZB3HsyBrbydbmCGr2oeWsJhRazirYhua05zxA9qFl&#10;rGYUU7IPrS7U5rSOsYp1fMuzh16f2pvWKlkFazmrvWkt5wMwse1g6PWpvWmdMlSsp2OstqZ1jFVs&#10;jy5OySNrPB8kjwON56fbtH30jBlDiaY3iv7Iu4wHeNldlJ93uowYAQV3iZKfiOaOgw1MHodHgnvl&#10;kN26oWYwOt/4BR/gpejy886CMWaMXMMkcK8ccsFgNqf2ZHeW4/H7qKcS4fuVCMK1jZ72pBz6xduT&#10;LEe2HM+F/O/2waxuaEppQEgYENwsJay1ybcauzMucIgtCGCYnWnzWIYn9y7lGRd5/OreJ7TcILLD&#10;cxH/lBNa7CwW27oj0EQW2yAHp7wOz05druUeo8ICYlwK+9Ej9lmc4RNRkw9xyd3L404+0LSQxA+z&#10;J9BcX17zs36E505dy5217advEwS2FUJphNsE4gbdUNzgLoG4+cW9kPhuQCwndGDFt91QGZvkh15A&#10;bB9310+O2H/okh1NZH28n3Ff80FlOh4+tBvDDyrXQ0cmfrLmFJmWfSfij7QQXcfy/NBvO4jdwW3S&#10;Dk2JS45lO6GFB4tOccn83gmCPJ123MMHEgRJ/NBuyHO+kxtOcUPmhFYEm/49CUI3NsURXTfwIfHH&#10;Vkp/pu6wDOyUqbOfeDzNTJ0XZ0/FEaEc47/l4ifjxO/O2I/F1HtetHW/jjv7HwAA//8DAFBLAwQU&#10;AAYACAAAACEATvTww9wAAAAFAQAADwAAAGRycy9kb3ducmV2LnhtbEyPT0vDQBDF74LfYRnBm92k&#10;/gtpNqUU9VQEW0F6mybTJDQ7G7LbJP32jl70MvB4jze/ly0n26qBet84NhDPIlDEhSsbrgx87l7v&#10;ElA+IJfYOiYDF/KwzK+vMkxLN/IHDdtQKSlhn6KBOoQu1doXNVn0M9cRi3d0vcUgsq902eMo5bbV&#10;8yh60hYblg81drSuqThtz9bA24jj6j5+GTan4/qy3z2+f21iMub2ZlotQAWawl8YfvAFHXJhOrgz&#10;l161BmRI+L3iJc8PMuMgoXkSgc4z/Z8+/wYAAP//AwBQSwECLQAUAAYACAAAACEAtoM4kv4AAADh&#10;AQAAEwAAAAAAAAAAAAAAAAAAAAAAW0NvbnRlbnRfVHlwZXNdLnhtbFBLAQItABQABgAIAAAAIQA4&#10;/SH/1gAAAJQBAAALAAAAAAAAAAAAAAAAAC8BAABfcmVscy8ucmVsc1BLAQItABQABgAIAAAAIQC6&#10;bdUipgcAAGU3AAAOAAAAAAAAAAAAAAAAAC4CAABkcnMvZTJvRG9jLnhtbFBLAQItABQABgAIAAAA&#10;IQBO9PDD3AAAAAUBAAAPAAAAAAAAAAAAAAAAAAAKAABkcnMvZG93bnJldi54bWxQSwUGAAAAAAQA&#10;BADzAAAACQsAAAAA&#10;">
                <v:rect id="Rectangle 908785896" o:spid="_x0000_s1052" style="position:absolute;width:55552;height:81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h+TUywAAAOIAAAAPAAAAZHJzL2Rvd25yZXYueG1sRI/NasMw&#10;EITvhbyD2EAvpZH6k0R2o4RSaCi5xW0KvS3W1ja1VsZSEvvto0Khx2FmvmFWm8G14kR9aDwbuJsp&#10;EMSltw1XBj7eX281iBCRLbaeycBIATbrydUKc+vPvKdTESuRIBxyNFDH2OVShrImh2HmO+Lkffve&#10;YUyyr6Tt8ZzgrpX3Si2kw4bTQo0dvdRU/hRHZ+DxoObL3X7c2vHr80arQ3YsHqIx19Ph+QlEpCH+&#10;h//ab9ZApvRSz3W2gN9L6Q7I9QUAAP//AwBQSwECLQAUAAYACAAAACEA2+H2y+4AAACFAQAAEwAA&#10;AAAAAAAAAAAAAAAAAAAAW0NvbnRlbnRfVHlwZXNdLnhtbFBLAQItABQABgAIAAAAIQBa9CxbvwAA&#10;ABUBAAALAAAAAAAAAAAAAAAAAB8BAABfcmVscy8ucmVsc1BLAQItABQABgAIAAAAIQDqh+TUywAA&#10;AOIAAAAPAAAAAAAAAAAAAAAAAAcCAABkcnMvZG93bnJldi54bWxQSwUGAAAAAAMAAwC3AAAA/wIA&#10;AAAA&#10;" fillcolor="#dbebea" strokecolor="#0c1615 [484]" strokeweight="1.5pt"/>
                <v:shape id="Freeform: Shape 233195421" o:spid="_x0000_s1053" style="position:absolute;left:11091;top:1752;width:4624;height:4624;visibility:visible;mso-wrap-style:square;v-text-anchor:middle" coordsize="645180,645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vM50ygAAAOIAAAAPAAAAZHJzL2Rvd25yZXYueG1sRI/RasJA&#10;FETfC/2H5RZ8q5usaUlTVymCUCkopn7AJXubBLN3Q3bV2K93C0Ifh5k5w8yXo+3EmQbfOtaQThMQ&#10;xJUzLdcaDt/r5xyED8gGO8ek4UoelovHhzkWxl14T+cy1CJC2BeooQmhL6T0VUMW/dT1xNH7cYPF&#10;EOVQSzPgJcJtJ1WSvEqLLceFBntaNVQdy5PVULb5L2XXr9Mu2awPR5Vl+VY5rSdP48c7iEBj+A/f&#10;259Gg5rN0reXTKXwdyneAbm4AQAA//8DAFBLAQItABQABgAIAAAAIQDb4fbL7gAAAIUBAAATAAAA&#10;AAAAAAAAAAAAAAAAAABbQ29udGVudF9UeXBlc10ueG1sUEsBAi0AFAAGAAgAAAAhAFr0LFu/AAAA&#10;FQEAAAsAAAAAAAAAAAAAAAAAHwEAAF9yZWxzLy5yZWxzUEsBAi0AFAAGAAgAAAAhAFC8znTKAAAA&#10;4gAAAA8AAAAAAAAAAAAAAAAABwIAAGRycy9kb3ducmV2LnhtbFBLBQYAAAAAAwADALcAAAD+AgAA&#10;AAA=&#10;" path="m85519,246717r161198,l246717,85519r151746,l398463,246717r161198,l559661,398463r-161198,l398463,559661r-151746,l246717,398463r-161198,l85519,246717xe" fillcolor="#94c4bf [1940]" stroked="f">
                  <v:path arrowok="t" o:connecttype="custom" o:connectlocs="61292,176823;176823,176823;176823,61292;285581,61292;285581,176823;401112,176823;401112,285581;285581,285581;285581,401112;176823,401112;176823,285581;61292,285581;61292,176823" o:connectangles="0,0,0,0,0,0,0,0,0,0,0,0,0"/>
                </v:shape>
                <v:shape id="Freeform: Shape 538539861" o:spid="_x0000_s1054" style="position:absolute;left:25617;top:1752;width:4624;height:4624;visibility:visible;mso-wrap-style:square;v-text-anchor:middle" coordsize="645180,645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pl9AygAAAOIAAAAPAAAAZHJzL2Rvd25yZXYueG1sRI/RasJA&#10;FETfC/2H5Rb6VjfGKGt0FRGESqGl0Q+4ZK9JMHs3ZFeNfn23UOjjMDNnmOV6sK24Uu8bxxrGowQE&#10;celMw5WG42H3pkD4gGywdUwa7uRhvXp+WmJu3I2/6VqESkQI+xw11CF0uZS+rMmiH7mOOHon11sM&#10;UfaVND3eIty2Mk2SmbTYcFyosaNtTeW5uFgNRaMelN0/Ll/Jfnc8p1mmPlOn9evLsFmACDSE//Bf&#10;+91omE7UdDJXszH8Xop3QK5+AAAA//8DAFBLAQItABQABgAIAAAAIQDb4fbL7gAAAIUBAAATAAAA&#10;AAAAAAAAAAAAAAAAAABbQ29udGVudF9UeXBlc10ueG1sUEsBAi0AFAAGAAgAAAAhAFr0LFu/AAAA&#10;FQEAAAsAAAAAAAAAAAAAAAAAHwEAAF9yZWxzLy5yZWxzUEsBAi0AFAAGAAgAAAAhABGmX0DKAAAA&#10;4gAAAA8AAAAAAAAAAAAAAAAABwIAAGRycy9kb3ducmV2LnhtbFBLBQYAAAAAAwADALcAAAD+AgAA&#10;AAA=&#10;" path="m85519,246717r474142,l559661,398463r-474142,l85519,246717xe" fillcolor="#94c4bf [1940]" stroked="f">
                  <v:path arrowok="t" o:connecttype="custom" o:connectlocs="61292,176823;401112,176823;401112,285581;61292,285581;61292,176823" o:connectangles="0,0,0,0,0"/>
                </v:shape>
                <v:shape id="Freeform: Shape 1932102927" o:spid="_x0000_s1055" style="position:absolute;left:40142;top:1752;width:4624;height:4624;visibility:visible;mso-wrap-style:square;v-text-anchor:middle" coordsize="645180,645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8eD8xQAAAOMAAAAPAAAAZHJzL2Rvd25yZXYueG1sRE/NSgMx&#10;EL4LvkOYQm82aYq1XZsWLQp6tOp93Iy7SzeTJYm78e2NIHic7392h+x6MVKInWcDy4UCQVx723Fj&#10;4O318WoDIiZki71nMvBNEQ77y4sdVtZP/ELjKTWihHCs0ECb0lBJGeuWHMaFH4gL9+mDw1TO0Egb&#10;cCrhrpdaqbV02HFpaHGgY0v1+fTlDASNzZDXeVJhvN98rNRzeni/NmY+y3e3IBLl9C/+cz/ZMn+7&#10;0kult/oGfn8qAMj9DwAAAP//AwBQSwECLQAUAAYACAAAACEA2+H2y+4AAACFAQAAEwAAAAAAAAAA&#10;AAAAAAAAAAAAW0NvbnRlbnRfVHlwZXNdLnhtbFBLAQItABQABgAIAAAAIQBa9CxbvwAAABUBAAAL&#10;AAAAAAAAAAAAAAAAAB8BAABfcmVscy8ucmVsc1BLAQItABQABgAIAAAAIQAl8eD8xQAAAOMAAAAP&#10;AAAAAAAAAAAAAAAAAAcCAABkcnMvZG93bnJldi54bWxQSwUGAAAAAAMAAwC3AAAA+QIAAAAA&#10;" path="m85519,132907r474142,l559661,284653r-474142,l85519,132907xm85519,360527r474142,l559661,512273r-474142,l85519,360527xe" fillcolor="#94c4bf [1940]" stroked="f">
                  <v:path arrowok="t" o:connecttype="custom" o:connectlocs="61292,95255;401112,95255;401112,204012;61292,204012;61292,95255;61292,258392;401112,258392;401112,367149;61292,367149;61292,258392" o:connectangles="0,0,0,0,0,0,0,0,0,0"/>
                </v:shape>
                <v:rect id="Rectangle 290703544" o:spid="_x0000_s1056" style="position:absolute;left:1187;top:1538;width:9907;height:50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vRMlzAAAAOIAAAAPAAAAZHJzL2Rvd25yZXYueG1sRI/dagIx&#10;FITvC32HcAre1cSf2nZrFBFEoS3UtUIvD5vT3cXNyZJEXfv0plDo5TAz3zDTeWcbcSIfascaBn0F&#10;grhwpuZSw+dudf8EIkRkg41j0nChAPPZ7c0UM+POvKVTHkuRIBwy1FDF2GZShqIii6HvWuLkfTtv&#10;MSbpS2k8nhPcNnKo1ERarDktVNjSsqLikB+tBm/ePr7cYvCzfX3fryfHfX4Iu1zr3l23eAERqYv/&#10;4b/2xmgYPqtHNXoYj+H3UroDcnYFAAD//wMAUEsBAi0AFAAGAAgAAAAhANvh9svuAAAAhQEAABMA&#10;AAAAAAAAAAAAAAAAAAAAAFtDb250ZW50X1R5cGVzXS54bWxQSwECLQAUAAYACAAAACEAWvQsW78A&#10;AAAVAQAACwAAAAAAAAAAAAAAAAAfAQAAX3JlbHMvLnJlbHNQSwECLQAUAAYACAAAACEAjb0TJcwA&#10;AADiAAAADwAAAAAAAAAAAAAAAAAHAgAAZHJzL2Rvd25yZXYueG1sUEsFBgAAAAADAAMAtwAAAAAD&#10;AAAAAA==&#10;" fillcolor="#47928d" strokecolor="white [3212]" strokeweight="1pt">
                  <v:textbox inset="2.00228mm,2.00228mm,2.00228mm,2.00228mm">
                    <w:txbxContent>
                      <w:p w14:paraId="78E8CC42" w14:textId="77777777" w:rsidR="00CF6FA0" w:rsidRDefault="00CF6FA0" w:rsidP="00CF6FA0">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Exposure</w:t>
                        </w:r>
                      </w:p>
                    </w:txbxContent>
                  </v:textbox>
                </v:rect>
                <v:rect id="Rectangle 1647103832" o:spid="_x0000_s1057" style="position:absolute;left:15712;top:1538;width:9908;height:50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KdfIyQAAAOMAAAAPAAAAZHJzL2Rvd25yZXYueG1sRE9fa8Iw&#10;EH8X9h3CDXzTtDo66Ywig6HgBK0T9ng0t7bYXEoStdunXwbCHu/3/+bL3rTiSs43lhWk4wQEcWl1&#10;w5WCj+PbaAbCB2SNrWVS8E0elouHwRxzbW98oGsRKhFD2OeooA6hy6X0ZU0G/dh2xJH7ss5giKer&#10;pHZ4i+GmlZMkyaTBhmNDjR291lSei4tR4PT7/tOu0p/DdndaZ5dTcfbHQqnhY796ARGoD//iu3uj&#10;4/zs6TlNprPpBP5+igDIxS8AAAD//wMAUEsBAi0AFAAGAAgAAAAhANvh9svuAAAAhQEAABMAAAAA&#10;AAAAAAAAAAAAAAAAAFtDb250ZW50X1R5cGVzXS54bWxQSwECLQAUAAYACAAAACEAWvQsW78AAAAV&#10;AQAACwAAAAAAAAAAAAAAAAAfAQAAX3JlbHMvLnJlbHNQSwECLQAUAAYACAAAACEAGinXyMkAAADj&#10;AAAADwAAAAAAAAAAAAAAAAAHAgAAZHJzL2Rvd25yZXYueG1sUEsFBgAAAAADAAMAtwAAAP0CAAAA&#10;AA==&#10;" fillcolor="#47928d" strokecolor="white [3212]" strokeweight="1pt">
                  <v:textbox inset="2.00228mm,2.00228mm,2.00228mm,2.00228mm">
                    <w:txbxContent>
                      <w:p w14:paraId="5A055201" w14:textId="77777777" w:rsidR="00CF6FA0" w:rsidRDefault="00CF6FA0" w:rsidP="00CF6FA0">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Sensitivity</w:t>
                        </w:r>
                      </w:p>
                    </w:txbxContent>
                  </v:textbox>
                </v:rect>
                <v:rect id="Rectangle 143056867" o:spid="_x0000_s1058" style="position:absolute;left:30238;top:1538;width:9907;height:50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tWOexwAAAOIAAAAPAAAAZHJzL2Rvd25yZXYueG1sRE9da8Iw&#10;FH0f7D+EO/Btpk7tpBpFBqKwDWZV8PHSXNtic1OSqN1+/TIQ9ng437NFZxpxJedrywoG/QQEcWF1&#10;zaWC/W71PAHhA7LGxjIp+CYPi/njwwwzbW+8pWseShFD2GeooAqhzaT0RUUGfd+2xJE7WWcwROhK&#10;qR3eYrhp5EuSpNJgzbGhwpbeKirO+cUocPrj62iXg5/t++dhnV4O+dnvcqV6T91yCiJQF/7Fd/dG&#10;x/mjYTJOJ+kr/F2KGOT8FwAA//8DAFBLAQItABQABgAIAAAAIQDb4fbL7gAAAIUBAAATAAAAAAAA&#10;AAAAAAAAAAAAAABbQ29udGVudF9UeXBlc10ueG1sUEsBAi0AFAAGAAgAAAAhAFr0LFu/AAAAFQEA&#10;AAsAAAAAAAAAAAAAAAAAHwEAAF9yZWxzLy5yZWxzUEsBAi0AFAAGAAgAAAAhACy1Y57HAAAA4gAA&#10;AA8AAAAAAAAAAAAAAAAABwIAAGRycy9kb3ducmV2LnhtbFBLBQYAAAAAAwADALcAAAD7AgAAAAA=&#10;" fillcolor="#47928d" strokecolor="white [3212]" strokeweight="1pt">
                  <v:textbox inset="2.00228mm,2.00228mm,2.00228mm,2.00228mm">
                    <w:txbxContent>
                      <w:p w14:paraId="29EBF761" w14:textId="77777777" w:rsidR="00CF6FA0" w:rsidRDefault="00CF6FA0" w:rsidP="00CF6FA0">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Adaptive Capacity</w:t>
                        </w:r>
                      </w:p>
                    </w:txbxContent>
                  </v:textbox>
                </v:rect>
                <v:rect id="Rectangle 1056809561" o:spid="_x0000_s1059" style="position:absolute;left:44763;top:1538;width:9904;height:50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aravyAAAAOMAAAAPAAAAZHJzL2Rvd25yZXYueG1sRE9fa8Iw&#10;EH8f+B3CCXubSQcW7YwiwthgG8yqsMejOdticylJ1G6ffhkMfLzf/1usBtuJC/nQOtaQTRQI4sqZ&#10;lmsN+93zwwxEiMgGO8ek4ZsCrJajuwUWxl15S5cy1iKFcChQQxNjX0gZqoYshonriRN3dN5iTKev&#10;pfF4TeG2k49K5dJiy6mhwZ42DVWn8mw1ePP++eXW2c/27ePwkp8P5SnsSq3vx8P6CUSkId7E/+5X&#10;k+araT5T82mewd9PCQC5/AUAAP//AwBQSwECLQAUAAYACAAAACEA2+H2y+4AAACFAQAAEwAAAAAA&#10;AAAAAAAAAAAAAAAAW0NvbnRlbnRfVHlwZXNdLnhtbFBLAQItABQABgAIAAAAIQBa9CxbvwAAABUB&#10;AAALAAAAAAAAAAAAAAAAAB8BAABfcmVscy8ucmVsc1BLAQItABQABgAIAAAAIQAFaravyAAAAOMA&#10;AAAPAAAAAAAAAAAAAAAAAAcCAABkcnMvZG93bnJldi54bWxQSwUGAAAAAAMAAwC3AAAA/AIAAAAA&#10;" fillcolor="#47928d" strokecolor="white [3212]" strokeweight="1pt">
                  <v:textbox inset="2.00228mm,2.00228mm,2.00228mm,2.00228mm">
                    <w:txbxContent>
                      <w:p w14:paraId="6A1BBC0D" w14:textId="77777777" w:rsidR="00CF6FA0" w:rsidRDefault="00CF6FA0" w:rsidP="00CF6FA0">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Overall Vulnerability</w:t>
                        </w:r>
                      </w:p>
                    </w:txbxContent>
                  </v:textbox>
                </v:rect>
                <w10:anchorlock/>
              </v:group>
            </w:pict>
          </mc:Fallback>
        </mc:AlternateContent>
      </w:r>
    </w:p>
    <w:p w14:paraId="2441343B" w14:textId="5E3FB9EE" w:rsidR="00544ADD" w:rsidRPr="00904F74" w:rsidRDefault="00767BEC" w:rsidP="00767BEC">
      <w:r>
        <w:t>E</w:t>
      </w:r>
      <w:r w:rsidRPr="00767BEC">
        <w:t xml:space="preserve">xposure, sensitivity and adaptive capacity are scored on a scale of 0-3 (see below). </w:t>
      </w:r>
    </w:p>
    <w:p w14:paraId="711F12E3" w14:textId="77777777" w:rsidR="00544ADD" w:rsidRPr="00544ADD" w:rsidRDefault="00544ADD" w:rsidP="00904F74">
      <w:pPr>
        <w:pStyle w:val="Heading2"/>
      </w:pPr>
      <w:r w:rsidRPr="00544ADD">
        <w:t>Exposure</w:t>
      </w:r>
      <w:r w:rsidRPr="00544ADD">
        <w:tab/>
      </w:r>
    </w:p>
    <w:p w14:paraId="757CF0DD" w14:textId="1F9CCE87" w:rsidR="004016F6" w:rsidRDefault="00544ADD" w:rsidP="00544ADD">
      <w:pPr>
        <w:rPr>
          <w:lang w:val="en-GB"/>
        </w:rPr>
      </w:pPr>
      <w:r w:rsidRPr="00544ADD">
        <w:rPr>
          <w:lang w:val="en-GB"/>
        </w:rPr>
        <w:t>The presence of people, livelihoods, species or ecosystems, environmental functions, services, and resources, infrastructure, or economic, social, or cultural assets in places and settings that could be adversely affected.</w:t>
      </w:r>
    </w:p>
    <w:tbl>
      <w:tblPr>
        <w:tblW w:w="5000" w:type="pct"/>
        <w:tblLayout w:type="fixed"/>
        <w:tblLook w:val="04A0" w:firstRow="1" w:lastRow="0" w:firstColumn="1" w:lastColumn="0" w:noHBand="0" w:noVBand="1"/>
      </w:tblPr>
      <w:tblGrid>
        <w:gridCol w:w="983"/>
        <w:gridCol w:w="1560"/>
        <w:gridCol w:w="4260"/>
        <w:gridCol w:w="2203"/>
      </w:tblGrid>
      <w:tr w:rsidR="004016F6" w:rsidRPr="000F12AD" w14:paraId="7349394F" w14:textId="77777777" w:rsidTr="00904F74">
        <w:trPr>
          <w:trHeight w:val="300"/>
          <w:tblHeader/>
        </w:trPr>
        <w:tc>
          <w:tcPr>
            <w:tcW w:w="546" w:type="pct"/>
            <w:tcBorders>
              <w:top w:val="single" w:sz="8" w:space="0" w:color="47928D"/>
              <w:left w:val="single" w:sz="8" w:space="0" w:color="47928D"/>
              <w:bottom w:val="single" w:sz="8" w:space="0" w:color="47928D"/>
              <w:right w:val="nil"/>
            </w:tcBorders>
            <w:shd w:val="clear" w:color="000000" w:fill="47928D"/>
            <w:noWrap/>
            <w:vAlign w:val="center"/>
            <w:hideMark/>
          </w:tcPr>
          <w:p w14:paraId="5A561061" w14:textId="77777777" w:rsidR="004016F6" w:rsidRPr="00904F74" w:rsidRDefault="004016F6" w:rsidP="004016F6">
            <w:pPr>
              <w:spacing w:after="0" w:line="240" w:lineRule="auto"/>
              <w:rPr>
                <w:rFonts w:ascii="Aptos" w:eastAsia="Times New Roman" w:hAnsi="Aptos" w:cs="Times New Roman"/>
                <w:b/>
                <w:bCs/>
                <w:color w:val="FFFFFF"/>
                <w:lang w:val="en-GB" w:eastAsia="en-GB"/>
              </w:rPr>
            </w:pPr>
            <w:r w:rsidRPr="00904F74">
              <w:rPr>
                <w:rFonts w:ascii="Aptos" w:eastAsia="Times New Roman" w:hAnsi="Aptos" w:cs="Times New Roman"/>
                <w:b/>
                <w:bCs/>
                <w:color w:val="FFFFFF"/>
                <w:lang w:val="en-GB" w:eastAsia="en-GB"/>
              </w:rPr>
              <w:t>Score</w:t>
            </w:r>
          </w:p>
        </w:tc>
        <w:tc>
          <w:tcPr>
            <w:tcW w:w="866" w:type="pct"/>
            <w:tcBorders>
              <w:top w:val="single" w:sz="8" w:space="0" w:color="47928D"/>
              <w:left w:val="nil"/>
              <w:bottom w:val="single" w:sz="8" w:space="0" w:color="47928D"/>
              <w:right w:val="nil"/>
            </w:tcBorders>
            <w:shd w:val="clear" w:color="000000" w:fill="47928D"/>
            <w:noWrap/>
            <w:vAlign w:val="center"/>
            <w:hideMark/>
          </w:tcPr>
          <w:p w14:paraId="32BF2F09" w14:textId="77777777" w:rsidR="004016F6" w:rsidRPr="00904F74" w:rsidRDefault="004016F6" w:rsidP="004016F6">
            <w:pPr>
              <w:spacing w:after="0" w:line="240" w:lineRule="auto"/>
              <w:rPr>
                <w:rFonts w:ascii="Aptos" w:eastAsia="Times New Roman" w:hAnsi="Aptos" w:cs="Times New Roman"/>
                <w:b/>
                <w:bCs/>
                <w:color w:val="FFFFFF"/>
                <w:lang w:val="en-GB" w:eastAsia="en-GB"/>
              </w:rPr>
            </w:pPr>
            <w:r w:rsidRPr="00904F74">
              <w:rPr>
                <w:rFonts w:ascii="Aptos" w:eastAsia="Times New Roman" w:hAnsi="Aptos" w:cs="Times New Roman"/>
                <w:b/>
                <w:bCs/>
                <w:color w:val="FFFFFF"/>
                <w:lang w:val="en-GB" w:eastAsia="en-GB"/>
              </w:rPr>
              <w:t>Rating</w:t>
            </w:r>
          </w:p>
        </w:tc>
        <w:tc>
          <w:tcPr>
            <w:tcW w:w="2365" w:type="pct"/>
            <w:tcBorders>
              <w:top w:val="single" w:sz="8" w:space="0" w:color="47928D"/>
              <w:left w:val="nil"/>
              <w:bottom w:val="single" w:sz="8" w:space="0" w:color="47928D"/>
              <w:right w:val="single" w:sz="8" w:space="0" w:color="47928D"/>
            </w:tcBorders>
            <w:shd w:val="clear" w:color="000000" w:fill="47928D"/>
            <w:noWrap/>
            <w:vAlign w:val="center"/>
            <w:hideMark/>
          </w:tcPr>
          <w:p w14:paraId="6B7C2A62" w14:textId="77777777" w:rsidR="004016F6" w:rsidRPr="00904F74" w:rsidRDefault="004016F6" w:rsidP="004016F6">
            <w:pPr>
              <w:spacing w:after="0" w:line="240" w:lineRule="auto"/>
              <w:rPr>
                <w:rFonts w:ascii="Aptos" w:eastAsia="Times New Roman" w:hAnsi="Aptos" w:cs="Times New Roman"/>
                <w:b/>
                <w:bCs/>
                <w:color w:val="FFFFFF"/>
                <w:lang w:val="en-GB" w:eastAsia="en-GB"/>
              </w:rPr>
            </w:pPr>
            <w:r w:rsidRPr="00904F74">
              <w:rPr>
                <w:rFonts w:ascii="Aptos" w:eastAsia="Times New Roman" w:hAnsi="Aptos" w:cs="Times New Roman"/>
                <w:b/>
                <w:bCs/>
                <w:color w:val="FFFFFF"/>
                <w:lang w:val="en-GB" w:eastAsia="en-GB"/>
              </w:rPr>
              <w:t>Description</w:t>
            </w:r>
          </w:p>
        </w:tc>
        <w:tc>
          <w:tcPr>
            <w:tcW w:w="1224" w:type="pct"/>
            <w:tcBorders>
              <w:top w:val="single" w:sz="8" w:space="0" w:color="47928D"/>
              <w:left w:val="nil"/>
              <w:bottom w:val="single" w:sz="8" w:space="0" w:color="47928D"/>
              <w:right w:val="single" w:sz="8" w:space="0" w:color="47928D"/>
            </w:tcBorders>
            <w:shd w:val="clear" w:color="000000" w:fill="47928D"/>
            <w:noWrap/>
            <w:vAlign w:val="center"/>
            <w:hideMark/>
          </w:tcPr>
          <w:p w14:paraId="1572E1B2" w14:textId="77777777" w:rsidR="004016F6" w:rsidRPr="00904F74" w:rsidRDefault="004016F6" w:rsidP="004016F6">
            <w:pPr>
              <w:spacing w:after="0" w:line="240" w:lineRule="auto"/>
              <w:rPr>
                <w:rFonts w:ascii="Aptos" w:eastAsia="Times New Roman" w:hAnsi="Aptos" w:cs="Times New Roman"/>
                <w:b/>
                <w:bCs/>
                <w:color w:val="FFFFFF"/>
                <w:lang w:val="en-GB" w:eastAsia="en-GB"/>
              </w:rPr>
            </w:pPr>
            <w:r w:rsidRPr="00904F74">
              <w:rPr>
                <w:rFonts w:ascii="Aptos" w:eastAsia="Times New Roman" w:hAnsi="Aptos" w:cs="Times New Roman"/>
                <w:b/>
                <w:bCs/>
                <w:color w:val="FFFFFF"/>
                <w:lang w:val="en-GB" w:eastAsia="en-GB"/>
              </w:rPr>
              <w:t>Area or System exposed</w:t>
            </w:r>
          </w:p>
        </w:tc>
      </w:tr>
      <w:tr w:rsidR="004016F6" w:rsidRPr="000F12AD" w14:paraId="18B54490" w14:textId="77777777" w:rsidTr="00904F74">
        <w:trPr>
          <w:trHeight w:val="300"/>
        </w:trPr>
        <w:tc>
          <w:tcPr>
            <w:tcW w:w="546" w:type="pct"/>
            <w:tcBorders>
              <w:top w:val="nil"/>
              <w:left w:val="single" w:sz="8" w:space="0" w:color="49938D"/>
              <w:bottom w:val="single" w:sz="8" w:space="0" w:color="49938D"/>
              <w:right w:val="single" w:sz="8" w:space="0" w:color="49938D"/>
            </w:tcBorders>
            <w:shd w:val="clear" w:color="000000" w:fill="FF0000"/>
            <w:noWrap/>
            <w:vAlign w:val="center"/>
            <w:hideMark/>
          </w:tcPr>
          <w:p w14:paraId="5B288F1F" w14:textId="77777777" w:rsidR="004016F6" w:rsidRPr="00904F74" w:rsidRDefault="004016F6" w:rsidP="004016F6">
            <w:pPr>
              <w:spacing w:after="0" w:line="240" w:lineRule="auto"/>
              <w:jc w:val="center"/>
              <w:rPr>
                <w:rFonts w:ascii="Aptos" w:eastAsia="Times New Roman" w:hAnsi="Aptos" w:cs="Times New Roman"/>
                <w:b/>
                <w:bCs/>
                <w:color w:val="000000"/>
                <w:lang w:val="en-GB" w:eastAsia="en-GB"/>
              </w:rPr>
            </w:pPr>
            <w:r w:rsidRPr="00904F74">
              <w:rPr>
                <w:rFonts w:ascii="Aptos" w:eastAsia="Times New Roman" w:hAnsi="Aptos" w:cs="Times New Roman"/>
                <w:b/>
                <w:bCs/>
                <w:color w:val="000000"/>
                <w:lang w:val="en-GB" w:eastAsia="en-GB"/>
              </w:rPr>
              <w:t>3</w:t>
            </w:r>
          </w:p>
        </w:tc>
        <w:tc>
          <w:tcPr>
            <w:tcW w:w="866" w:type="pct"/>
            <w:tcBorders>
              <w:top w:val="nil"/>
              <w:left w:val="nil"/>
              <w:bottom w:val="single" w:sz="8" w:space="0" w:color="49938D"/>
              <w:right w:val="single" w:sz="8" w:space="0" w:color="49938D"/>
            </w:tcBorders>
            <w:noWrap/>
            <w:vAlign w:val="center"/>
            <w:hideMark/>
          </w:tcPr>
          <w:p w14:paraId="3E07892E" w14:textId="77777777" w:rsidR="004016F6" w:rsidRPr="00904F74" w:rsidRDefault="004016F6" w:rsidP="004016F6">
            <w:pPr>
              <w:spacing w:after="0" w:line="240" w:lineRule="auto"/>
              <w:rPr>
                <w:rFonts w:ascii="Aptos" w:eastAsia="Times New Roman" w:hAnsi="Aptos" w:cs="Times New Roman"/>
                <w:color w:val="000000"/>
                <w:lang w:val="en-GB" w:eastAsia="en-GB"/>
              </w:rPr>
            </w:pPr>
            <w:r w:rsidRPr="00904F74">
              <w:rPr>
                <w:rFonts w:ascii="Aptos" w:eastAsia="Times New Roman" w:hAnsi="Aptos" w:cs="Times New Roman"/>
                <w:color w:val="000000"/>
                <w:lang w:val="en-GB" w:eastAsia="en-GB"/>
              </w:rPr>
              <w:t>High</w:t>
            </w:r>
          </w:p>
        </w:tc>
        <w:tc>
          <w:tcPr>
            <w:tcW w:w="2365" w:type="pct"/>
            <w:tcBorders>
              <w:top w:val="nil"/>
              <w:left w:val="nil"/>
              <w:bottom w:val="single" w:sz="8" w:space="0" w:color="49938D"/>
              <w:right w:val="single" w:sz="8" w:space="0" w:color="49938D"/>
            </w:tcBorders>
            <w:noWrap/>
            <w:vAlign w:val="center"/>
            <w:hideMark/>
          </w:tcPr>
          <w:p w14:paraId="42267949" w14:textId="77777777" w:rsidR="004016F6" w:rsidRPr="00904F74" w:rsidRDefault="004016F6" w:rsidP="004016F6">
            <w:pPr>
              <w:spacing w:after="0" w:line="240" w:lineRule="auto"/>
              <w:rPr>
                <w:rFonts w:ascii="Aptos" w:eastAsia="Times New Roman" w:hAnsi="Aptos" w:cs="Times New Roman"/>
                <w:color w:val="000000"/>
                <w:lang w:val="en-GB" w:eastAsia="en-GB"/>
              </w:rPr>
            </w:pPr>
            <w:r w:rsidRPr="00904F74">
              <w:rPr>
                <w:rFonts w:ascii="Aptos" w:eastAsia="Times New Roman" w:hAnsi="Aptos" w:cs="Times New Roman"/>
                <w:color w:val="000000"/>
                <w:lang w:val="en-GB" w:eastAsia="en-GB"/>
              </w:rPr>
              <w:t>50-100% of affected area/system expose to climate hazards</w:t>
            </w:r>
          </w:p>
        </w:tc>
        <w:tc>
          <w:tcPr>
            <w:tcW w:w="1224" w:type="pct"/>
            <w:tcBorders>
              <w:top w:val="nil"/>
              <w:left w:val="nil"/>
              <w:bottom w:val="single" w:sz="8" w:space="0" w:color="49938D"/>
              <w:right w:val="single" w:sz="8" w:space="0" w:color="49938D"/>
            </w:tcBorders>
            <w:noWrap/>
            <w:vAlign w:val="center"/>
            <w:hideMark/>
          </w:tcPr>
          <w:p w14:paraId="5907BB9C" w14:textId="77777777" w:rsidR="004016F6" w:rsidRPr="00904F74" w:rsidRDefault="004016F6" w:rsidP="004016F6">
            <w:pPr>
              <w:spacing w:after="0" w:line="240" w:lineRule="auto"/>
              <w:rPr>
                <w:rFonts w:ascii="Aptos" w:eastAsia="Times New Roman" w:hAnsi="Aptos" w:cs="Times New Roman"/>
                <w:color w:val="000000"/>
                <w:lang w:val="en-GB" w:eastAsia="en-GB"/>
              </w:rPr>
            </w:pPr>
            <w:r w:rsidRPr="00904F74">
              <w:rPr>
                <w:rFonts w:ascii="Aptos" w:eastAsia="Times New Roman" w:hAnsi="Aptos" w:cs="Times New Roman"/>
                <w:color w:val="000000"/>
                <w:lang w:val="en-GB" w:eastAsia="en-GB"/>
              </w:rPr>
              <w:t>50-100%</w:t>
            </w:r>
          </w:p>
        </w:tc>
      </w:tr>
      <w:tr w:rsidR="004016F6" w:rsidRPr="000F12AD" w14:paraId="365AC44A" w14:textId="77777777" w:rsidTr="00904F74">
        <w:trPr>
          <w:trHeight w:val="300"/>
        </w:trPr>
        <w:tc>
          <w:tcPr>
            <w:tcW w:w="546" w:type="pct"/>
            <w:tcBorders>
              <w:top w:val="nil"/>
              <w:left w:val="single" w:sz="8" w:space="0" w:color="49938D"/>
              <w:bottom w:val="single" w:sz="8" w:space="0" w:color="49938D"/>
              <w:right w:val="single" w:sz="8" w:space="0" w:color="49938D"/>
            </w:tcBorders>
            <w:shd w:val="clear" w:color="000000" w:fill="FF6600"/>
            <w:noWrap/>
            <w:vAlign w:val="center"/>
            <w:hideMark/>
          </w:tcPr>
          <w:p w14:paraId="7D140992" w14:textId="77777777" w:rsidR="004016F6" w:rsidRPr="00904F74" w:rsidRDefault="004016F6" w:rsidP="004016F6">
            <w:pPr>
              <w:spacing w:after="0" w:line="240" w:lineRule="auto"/>
              <w:jc w:val="center"/>
              <w:rPr>
                <w:rFonts w:ascii="Aptos" w:eastAsia="Times New Roman" w:hAnsi="Aptos" w:cs="Times New Roman"/>
                <w:b/>
                <w:bCs/>
                <w:color w:val="000000"/>
                <w:lang w:val="en-GB" w:eastAsia="en-GB"/>
              </w:rPr>
            </w:pPr>
            <w:r w:rsidRPr="00904F74">
              <w:rPr>
                <w:rFonts w:ascii="Aptos" w:eastAsia="Times New Roman" w:hAnsi="Aptos" w:cs="Times New Roman"/>
                <w:b/>
                <w:bCs/>
                <w:color w:val="000000"/>
                <w:lang w:val="en-GB" w:eastAsia="en-GB"/>
              </w:rPr>
              <w:t>2</w:t>
            </w:r>
          </w:p>
        </w:tc>
        <w:tc>
          <w:tcPr>
            <w:tcW w:w="866" w:type="pct"/>
            <w:tcBorders>
              <w:top w:val="nil"/>
              <w:left w:val="nil"/>
              <w:bottom w:val="single" w:sz="8" w:space="0" w:color="49938D"/>
              <w:right w:val="single" w:sz="8" w:space="0" w:color="49938D"/>
            </w:tcBorders>
            <w:noWrap/>
            <w:vAlign w:val="center"/>
            <w:hideMark/>
          </w:tcPr>
          <w:p w14:paraId="04C02E43" w14:textId="77777777" w:rsidR="004016F6" w:rsidRPr="00904F74" w:rsidRDefault="004016F6" w:rsidP="004016F6">
            <w:pPr>
              <w:spacing w:after="0" w:line="240" w:lineRule="auto"/>
              <w:rPr>
                <w:rFonts w:ascii="Aptos" w:eastAsia="Times New Roman" w:hAnsi="Aptos" w:cs="Times New Roman"/>
                <w:color w:val="000000"/>
                <w:lang w:val="en-GB" w:eastAsia="en-GB"/>
              </w:rPr>
            </w:pPr>
            <w:r w:rsidRPr="00904F74">
              <w:rPr>
                <w:rFonts w:ascii="Aptos" w:eastAsia="Times New Roman" w:hAnsi="Aptos" w:cs="Times New Roman"/>
                <w:color w:val="000000"/>
                <w:lang w:val="en-GB" w:eastAsia="en-GB"/>
              </w:rPr>
              <w:t>Significant</w:t>
            </w:r>
          </w:p>
        </w:tc>
        <w:tc>
          <w:tcPr>
            <w:tcW w:w="2365" w:type="pct"/>
            <w:tcBorders>
              <w:top w:val="nil"/>
              <w:left w:val="nil"/>
              <w:bottom w:val="single" w:sz="8" w:space="0" w:color="49938D"/>
              <w:right w:val="single" w:sz="8" w:space="0" w:color="49938D"/>
            </w:tcBorders>
            <w:noWrap/>
            <w:vAlign w:val="center"/>
            <w:hideMark/>
          </w:tcPr>
          <w:p w14:paraId="5BBB7C82" w14:textId="77777777" w:rsidR="004016F6" w:rsidRPr="00904F74" w:rsidRDefault="004016F6" w:rsidP="004016F6">
            <w:pPr>
              <w:spacing w:after="0" w:line="240" w:lineRule="auto"/>
              <w:rPr>
                <w:rFonts w:ascii="Aptos" w:eastAsia="Times New Roman" w:hAnsi="Aptos" w:cs="Times New Roman"/>
                <w:color w:val="000000"/>
                <w:lang w:val="en-GB" w:eastAsia="en-GB"/>
              </w:rPr>
            </w:pPr>
            <w:r w:rsidRPr="00904F74">
              <w:rPr>
                <w:rFonts w:ascii="Aptos" w:eastAsia="Times New Roman" w:hAnsi="Aptos" w:cs="Times New Roman"/>
                <w:color w:val="000000"/>
                <w:lang w:val="en-GB" w:eastAsia="en-GB"/>
              </w:rPr>
              <w:t>25-50% of affected area/system expose to climate hazards</w:t>
            </w:r>
          </w:p>
        </w:tc>
        <w:tc>
          <w:tcPr>
            <w:tcW w:w="1224" w:type="pct"/>
            <w:tcBorders>
              <w:top w:val="nil"/>
              <w:left w:val="nil"/>
              <w:bottom w:val="single" w:sz="8" w:space="0" w:color="49938D"/>
              <w:right w:val="single" w:sz="8" w:space="0" w:color="49938D"/>
            </w:tcBorders>
            <w:noWrap/>
            <w:vAlign w:val="center"/>
            <w:hideMark/>
          </w:tcPr>
          <w:p w14:paraId="42A45B99" w14:textId="77777777" w:rsidR="004016F6" w:rsidRPr="00904F74" w:rsidRDefault="004016F6" w:rsidP="004016F6">
            <w:pPr>
              <w:spacing w:after="0" w:line="240" w:lineRule="auto"/>
              <w:rPr>
                <w:rFonts w:ascii="Aptos" w:eastAsia="Times New Roman" w:hAnsi="Aptos" w:cs="Times New Roman"/>
                <w:color w:val="000000"/>
                <w:lang w:val="en-GB" w:eastAsia="en-GB"/>
              </w:rPr>
            </w:pPr>
            <w:r w:rsidRPr="00904F74">
              <w:rPr>
                <w:rFonts w:ascii="Aptos" w:eastAsia="Times New Roman" w:hAnsi="Aptos" w:cs="Times New Roman"/>
                <w:color w:val="000000"/>
                <w:lang w:val="en-GB" w:eastAsia="en-GB"/>
              </w:rPr>
              <w:t>25-50%</w:t>
            </w:r>
          </w:p>
        </w:tc>
      </w:tr>
      <w:tr w:rsidR="004016F6" w:rsidRPr="000F12AD" w14:paraId="1DAE4760" w14:textId="77777777" w:rsidTr="00904F74">
        <w:trPr>
          <w:trHeight w:val="300"/>
        </w:trPr>
        <w:tc>
          <w:tcPr>
            <w:tcW w:w="546" w:type="pct"/>
            <w:tcBorders>
              <w:top w:val="nil"/>
              <w:left w:val="single" w:sz="8" w:space="0" w:color="49938D"/>
              <w:bottom w:val="single" w:sz="8" w:space="0" w:color="49938D"/>
              <w:right w:val="single" w:sz="8" w:space="0" w:color="49938D"/>
            </w:tcBorders>
            <w:shd w:val="clear" w:color="000000" w:fill="FFCC66"/>
            <w:noWrap/>
            <w:vAlign w:val="center"/>
            <w:hideMark/>
          </w:tcPr>
          <w:p w14:paraId="53291E34" w14:textId="77777777" w:rsidR="004016F6" w:rsidRPr="00904F74" w:rsidRDefault="004016F6" w:rsidP="004016F6">
            <w:pPr>
              <w:spacing w:after="0" w:line="240" w:lineRule="auto"/>
              <w:jc w:val="center"/>
              <w:rPr>
                <w:rFonts w:ascii="Aptos" w:eastAsia="Times New Roman" w:hAnsi="Aptos" w:cs="Times New Roman"/>
                <w:b/>
                <w:bCs/>
                <w:color w:val="000000"/>
                <w:lang w:val="en-GB" w:eastAsia="en-GB"/>
              </w:rPr>
            </w:pPr>
            <w:r w:rsidRPr="00904F74">
              <w:rPr>
                <w:rFonts w:ascii="Aptos" w:eastAsia="Times New Roman" w:hAnsi="Aptos" w:cs="Times New Roman"/>
                <w:b/>
                <w:bCs/>
                <w:color w:val="000000"/>
                <w:lang w:val="en-GB" w:eastAsia="en-GB"/>
              </w:rPr>
              <w:t>1</w:t>
            </w:r>
          </w:p>
        </w:tc>
        <w:tc>
          <w:tcPr>
            <w:tcW w:w="866" w:type="pct"/>
            <w:tcBorders>
              <w:top w:val="nil"/>
              <w:left w:val="nil"/>
              <w:bottom w:val="single" w:sz="8" w:space="0" w:color="49938D"/>
              <w:right w:val="single" w:sz="8" w:space="0" w:color="49938D"/>
            </w:tcBorders>
            <w:noWrap/>
            <w:vAlign w:val="center"/>
            <w:hideMark/>
          </w:tcPr>
          <w:p w14:paraId="6B788A21" w14:textId="77777777" w:rsidR="004016F6" w:rsidRPr="00904F74" w:rsidRDefault="004016F6" w:rsidP="004016F6">
            <w:pPr>
              <w:spacing w:after="0" w:line="240" w:lineRule="auto"/>
              <w:rPr>
                <w:rFonts w:ascii="Aptos" w:eastAsia="Times New Roman" w:hAnsi="Aptos" w:cs="Times New Roman"/>
                <w:color w:val="000000"/>
                <w:lang w:val="en-GB" w:eastAsia="en-GB"/>
              </w:rPr>
            </w:pPr>
            <w:r w:rsidRPr="00904F74">
              <w:rPr>
                <w:rFonts w:ascii="Aptos" w:eastAsia="Times New Roman" w:hAnsi="Aptos" w:cs="Times New Roman"/>
                <w:color w:val="000000"/>
                <w:lang w:val="en-GB" w:eastAsia="en-GB"/>
              </w:rPr>
              <w:t>Moderate</w:t>
            </w:r>
          </w:p>
        </w:tc>
        <w:tc>
          <w:tcPr>
            <w:tcW w:w="2365" w:type="pct"/>
            <w:tcBorders>
              <w:top w:val="nil"/>
              <w:left w:val="nil"/>
              <w:bottom w:val="single" w:sz="8" w:space="0" w:color="49938D"/>
              <w:right w:val="single" w:sz="8" w:space="0" w:color="49938D"/>
            </w:tcBorders>
            <w:noWrap/>
            <w:vAlign w:val="center"/>
            <w:hideMark/>
          </w:tcPr>
          <w:p w14:paraId="0A57FAA5" w14:textId="77777777" w:rsidR="004016F6" w:rsidRPr="00904F74" w:rsidRDefault="004016F6" w:rsidP="004016F6">
            <w:pPr>
              <w:spacing w:after="0" w:line="240" w:lineRule="auto"/>
              <w:rPr>
                <w:rFonts w:ascii="Aptos" w:eastAsia="Times New Roman" w:hAnsi="Aptos" w:cs="Times New Roman"/>
                <w:color w:val="000000"/>
                <w:lang w:val="en-GB" w:eastAsia="en-GB"/>
              </w:rPr>
            </w:pPr>
            <w:r w:rsidRPr="00904F74">
              <w:rPr>
                <w:rFonts w:ascii="Aptos" w:eastAsia="Times New Roman" w:hAnsi="Aptos" w:cs="Times New Roman"/>
                <w:color w:val="000000"/>
                <w:lang w:val="en-GB" w:eastAsia="en-GB"/>
              </w:rPr>
              <w:t>10-25% of affected area/system expose to climate hazards</w:t>
            </w:r>
          </w:p>
        </w:tc>
        <w:tc>
          <w:tcPr>
            <w:tcW w:w="1224" w:type="pct"/>
            <w:tcBorders>
              <w:top w:val="nil"/>
              <w:left w:val="nil"/>
              <w:bottom w:val="single" w:sz="8" w:space="0" w:color="49938D"/>
              <w:right w:val="single" w:sz="8" w:space="0" w:color="49938D"/>
            </w:tcBorders>
            <w:noWrap/>
            <w:vAlign w:val="center"/>
            <w:hideMark/>
          </w:tcPr>
          <w:p w14:paraId="6C3739B8" w14:textId="77777777" w:rsidR="004016F6" w:rsidRPr="00904F74" w:rsidRDefault="004016F6" w:rsidP="004016F6">
            <w:pPr>
              <w:spacing w:after="0" w:line="240" w:lineRule="auto"/>
              <w:rPr>
                <w:rFonts w:ascii="Aptos" w:eastAsia="Times New Roman" w:hAnsi="Aptos" w:cs="Times New Roman"/>
                <w:color w:val="000000"/>
                <w:lang w:val="en-GB" w:eastAsia="en-GB"/>
              </w:rPr>
            </w:pPr>
            <w:r w:rsidRPr="00904F74">
              <w:rPr>
                <w:rFonts w:ascii="Aptos" w:eastAsia="Times New Roman" w:hAnsi="Aptos" w:cs="Times New Roman"/>
                <w:color w:val="000000"/>
                <w:lang w:val="en-GB" w:eastAsia="en-GB"/>
              </w:rPr>
              <w:t>10-25%</w:t>
            </w:r>
          </w:p>
        </w:tc>
      </w:tr>
      <w:tr w:rsidR="004016F6" w:rsidRPr="000F12AD" w14:paraId="5A71AC90" w14:textId="77777777" w:rsidTr="00904F74">
        <w:trPr>
          <w:trHeight w:val="300"/>
        </w:trPr>
        <w:tc>
          <w:tcPr>
            <w:tcW w:w="546" w:type="pct"/>
            <w:tcBorders>
              <w:top w:val="nil"/>
              <w:left w:val="single" w:sz="8" w:space="0" w:color="49938D"/>
              <w:bottom w:val="single" w:sz="8" w:space="0" w:color="49938D"/>
              <w:right w:val="single" w:sz="8" w:space="0" w:color="49938D"/>
            </w:tcBorders>
            <w:shd w:val="clear" w:color="000000" w:fill="92D050"/>
            <w:noWrap/>
            <w:vAlign w:val="center"/>
            <w:hideMark/>
          </w:tcPr>
          <w:p w14:paraId="41F4E758" w14:textId="77777777" w:rsidR="004016F6" w:rsidRPr="00904F74" w:rsidRDefault="004016F6" w:rsidP="004016F6">
            <w:pPr>
              <w:spacing w:after="0" w:line="240" w:lineRule="auto"/>
              <w:jc w:val="center"/>
              <w:rPr>
                <w:rFonts w:ascii="Aptos" w:eastAsia="Times New Roman" w:hAnsi="Aptos" w:cs="Times New Roman"/>
                <w:b/>
                <w:bCs/>
                <w:color w:val="000000"/>
                <w:lang w:val="en-GB" w:eastAsia="en-GB"/>
              </w:rPr>
            </w:pPr>
            <w:r w:rsidRPr="00904F74">
              <w:rPr>
                <w:rFonts w:ascii="Aptos" w:eastAsia="Times New Roman" w:hAnsi="Aptos" w:cs="Times New Roman"/>
                <w:b/>
                <w:bCs/>
                <w:color w:val="000000"/>
                <w:lang w:val="en-GB" w:eastAsia="en-GB"/>
              </w:rPr>
              <w:t>0</w:t>
            </w:r>
          </w:p>
        </w:tc>
        <w:tc>
          <w:tcPr>
            <w:tcW w:w="866" w:type="pct"/>
            <w:tcBorders>
              <w:top w:val="nil"/>
              <w:left w:val="nil"/>
              <w:bottom w:val="single" w:sz="8" w:space="0" w:color="49938D"/>
              <w:right w:val="single" w:sz="8" w:space="0" w:color="49938D"/>
            </w:tcBorders>
            <w:noWrap/>
            <w:vAlign w:val="center"/>
            <w:hideMark/>
          </w:tcPr>
          <w:p w14:paraId="6B5C0105" w14:textId="77777777" w:rsidR="004016F6" w:rsidRPr="00904F74" w:rsidRDefault="004016F6" w:rsidP="004016F6">
            <w:pPr>
              <w:spacing w:after="0" w:line="240" w:lineRule="auto"/>
              <w:rPr>
                <w:rFonts w:ascii="Aptos" w:eastAsia="Times New Roman" w:hAnsi="Aptos" w:cs="Times New Roman"/>
                <w:color w:val="000000"/>
                <w:lang w:val="en-GB" w:eastAsia="en-GB"/>
              </w:rPr>
            </w:pPr>
            <w:r w:rsidRPr="00904F74">
              <w:rPr>
                <w:rFonts w:ascii="Aptos" w:eastAsia="Times New Roman" w:hAnsi="Aptos" w:cs="Times New Roman"/>
                <w:color w:val="000000"/>
                <w:lang w:val="en-GB" w:eastAsia="en-GB"/>
              </w:rPr>
              <w:t>Low or None</w:t>
            </w:r>
          </w:p>
        </w:tc>
        <w:tc>
          <w:tcPr>
            <w:tcW w:w="2365" w:type="pct"/>
            <w:tcBorders>
              <w:top w:val="nil"/>
              <w:left w:val="nil"/>
              <w:bottom w:val="single" w:sz="8" w:space="0" w:color="49938D"/>
              <w:right w:val="single" w:sz="8" w:space="0" w:color="49938D"/>
            </w:tcBorders>
            <w:noWrap/>
            <w:vAlign w:val="center"/>
            <w:hideMark/>
          </w:tcPr>
          <w:p w14:paraId="43A005CB" w14:textId="77777777" w:rsidR="004016F6" w:rsidRPr="00904F74" w:rsidRDefault="004016F6" w:rsidP="004016F6">
            <w:pPr>
              <w:spacing w:after="0" w:line="240" w:lineRule="auto"/>
              <w:rPr>
                <w:rFonts w:ascii="Aptos" w:eastAsia="Times New Roman" w:hAnsi="Aptos" w:cs="Times New Roman"/>
                <w:color w:val="000000"/>
                <w:lang w:val="en-GB" w:eastAsia="en-GB"/>
              </w:rPr>
            </w:pPr>
            <w:r w:rsidRPr="00904F74">
              <w:rPr>
                <w:rFonts w:ascii="Aptos" w:eastAsia="Times New Roman" w:hAnsi="Aptos" w:cs="Times New Roman"/>
                <w:color w:val="000000"/>
                <w:lang w:val="en-GB" w:eastAsia="en-GB"/>
              </w:rPr>
              <w:t>0-10% of affected area/system expose to climate hazards</w:t>
            </w:r>
          </w:p>
        </w:tc>
        <w:tc>
          <w:tcPr>
            <w:tcW w:w="1224" w:type="pct"/>
            <w:tcBorders>
              <w:top w:val="nil"/>
              <w:left w:val="nil"/>
              <w:bottom w:val="single" w:sz="8" w:space="0" w:color="49938D"/>
              <w:right w:val="single" w:sz="8" w:space="0" w:color="49938D"/>
            </w:tcBorders>
            <w:noWrap/>
            <w:vAlign w:val="center"/>
            <w:hideMark/>
          </w:tcPr>
          <w:p w14:paraId="6D0B02A7" w14:textId="77777777" w:rsidR="004016F6" w:rsidRPr="00904F74" w:rsidRDefault="004016F6" w:rsidP="004016F6">
            <w:pPr>
              <w:spacing w:after="0" w:line="240" w:lineRule="auto"/>
              <w:rPr>
                <w:rFonts w:ascii="Aptos" w:eastAsia="Times New Roman" w:hAnsi="Aptos" w:cs="Times New Roman"/>
                <w:color w:val="000000"/>
                <w:lang w:val="en-GB" w:eastAsia="en-GB"/>
              </w:rPr>
            </w:pPr>
            <w:r w:rsidRPr="00904F74">
              <w:rPr>
                <w:rFonts w:ascii="Aptos" w:eastAsia="Times New Roman" w:hAnsi="Aptos" w:cs="Times New Roman"/>
                <w:color w:val="000000"/>
                <w:lang w:val="en-GB" w:eastAsia="en-GB"/>
              </w:rPr>
              <w:t>0-10%</w:t>
            </w:r>
          </w:p>
        </w:tc>
      </w:tr>
    </w:tbl>
    <w:p w14:paraId="76D3EC22" w14:textId="77777777" w:rsidR="004016F6" w:rsidRDefault="004016F6" w:rsidP="00544ADD">
      <w:pPr>
        <w:rPr>
          <w:lang w:val="en-GB"/>
        </w:rPr>
      </w:pPr>
    </w:p>
    <w:p w14:paraId="1018644A" w14:textId="77777777" w:rsidR="004016F6" w:rsidRDefault="004016F6" w:rsidP="00904F74">
      <w:pPr>
        <w:pStyle w:val="Heading2"/>
      </w:pPr>
      <w:r>
        <w:t>Sensitivity</w:t>
      </w:r>
    </w:p>
    <w:p w14:paraId="2F41E66D" w14:textId="77777777" w:rsidR="005304E5" w:rsidRPr="00904F74" w:rsidRDefault="005304E5" w:rsidP="00904F74">
      <w:pPr>
        <w:rPr>
          <w:lang w:val="en-GB"/>
        </w:rPr>
      </w:pPr>
      <w:r w:rsidRPr="00904F74">
        <w:rPr>
          <w:lang w:val="en-GB"/>
        </w:rPr>
        <w:t>The degree to which a system or species is adversely or beneficially affected by climate variability or climate change.</w:t>
      </w:r>
    </w:p>
    <w:p w14:paraId="7323FD03" w14:textId="77777777" w:rsidR="005304E5" w:rsidRPr="005304E5" w:rsidRDefault="005304E5" w:rsidP="005304E5">
      <w:pPr>
        <w:spacing w:after="0" w:line="240" w:lineRule="auto"/>
        <w:rPr>
          <w:rFonts w:ascii="Aptos Narrow" w:eastAsia="Times New Roman" w:hAnsi="Aptos Narrow" w:cs="Times New Roman"/>
          <w:color w:val="000000"/>
          <w:sz w:val="22"/>
          <w:szCs w:val="22"/>
          <w:lang w:val="en-GB" w:eastAsia="en-GB"/>
        </w:rPr>
      </w:pPr>
    </w:p>
    <w:tbl>
      <w:tblPr>
        <w:tblW w:w="5000" w:type="pct"/>
        <w:tblLayout w:type="fixed"/>
        <w:tblLook w:val="04A0" w:firstRow="1" w:lastRow="0" w:firstColumn="1" w:lastColumn="0" w:noHBand="0" w:noVBand="1"/>
      </w:tblPr>
      <w:tblGrid>
        <w:gridCol w:w="1124"/>
        <w:gridCol w:w="1599"/>
        <w:gridCol w:w="6283"/>
      </w:tblGrid>
      <w:tr w:rsidR="005304E5" w:rsidRPr="000F12AD" w14:paraId="324F7804" w14:textId="77777777" w:rsidTr="00904F74">
        <w:trPr>
          <w:trHeight w:val="300"/>
          <w:tblHeader/>
        </w:trPr>
        <w:tc>
          <w:tcPr>
            <w:tcW w:w="624" w:type="pct"/>
            <w:tcBorders>
              <w:top w:val="single" w:sz="8" w:space="0" w:color="47928D"/>
              <w:left w:val="single" w:sz="8" w:space="0" w:color="47928D"/>
              <w:bottom w:val="single" w:sz="8" w:space="0" w:color="47928D"/>
              <w:right w:val="nil"/>
            </w:tcBorders>
            <w:shd w:val="clear" w:color="000000" w:fill="47928D"/>
            <w:noWrap/>
            <w:vAlign w:val="center"/>
            <w:hideMark/>
          </w:tcPr>
          <w:p w14:paraId="7A707062" w14:textId="77777777" w:rsidR="005304E5" w:rsidRPr="00904F74" w:rsidRDefault="005304E5" w:rsidP="005304E5">
            <w:pPr>
              <w:spacing w:after="0" w:line="240" w:lineRule="auto"/>
              <w:rPr>
                <w:rFonts w:ascii="Aptos" w:eastAsia="Times New Roman" w:hAnsi="Aptos" w:cs="Times New Roman"/>
                <w:b/>
                <w:bCs/>
                <w:color w:val="FFFFFF"/>
                <w:lang w:val="en-GB" w:eastAsia="en-GB"/>
              </w:rPr>
            </w:pPr>
            <w:r w:rsidRPr="00904F74">
              <w:rPr>
                <w:rFonts w:ascii="Aptos" w:eastAsia="Times New Roman" w:hAnsi="Aptos" w:cs="Times New Roman"/>
                <w:b/>
                <w:bCs/>
                <w:color w:val="FFFFFF"/>
                <w:lang w:val="en-GB" w:eastAsia="en-GB"/>
              </w:rPr>
              <w:t>Score</w:t>
            </w:r>
          </w:p>
        </w:tc>
        <w:tc>
          <w:tcPr>
            <w:tcW w:w="888" w:type="pct"/>
            <w:tcBorders>
              <w:top w:val="single" w:sz="8" w:space="0" w:color="47928D"/>
              <w:left w:val="nil"/>
              <w:bottom w:val="single" w:sz="8" w:space="0" w:color="47928D"/>
              <w:right w:val="single" w:sz="8" w:space="0" w:color="47928D"/>
            </w:tcBorders>
            <w:shd w:val="clear" w:color="000000" w:fill="47928D"/>
            <w:noWrap/>
            <w:vAlign w:val="center"/>
            <w:hideMark/>
          </w:tcPr>
          <w:p w14:paraId="469459F6" w14:textId="77777777" w:rsidR="005304E5" w:rsidRPr="00904F74" w:rsidRDefault="005304E5" w:rsidP="005304E5">
            <w:pPr>
              <w:spacing w:after="0" w:line="240" w:lineRule="auto"/>
              <w:rPr>
                <w:rFonts w:ascii="Aptos" w:eastAsia="Times New Roman" w:hAnsi="Aptos" w:cs="Times New Roman"/>
                <w:b/>
                <w:bCs/>
                <w:color w:val="FFFFFF"/>
                <w:lang w:val="en-GB" w:eastAsia="en-GB"/>
              </w:rPr>
            </w:pPr>
            <w:r w:rsidRPr="00904F74">
              <w:rPr>
                <w:rFonts w:ascii="Aptos" w:eastAsia="Times New Roman" w:hAnsi="Aptos" w:cs="Times New Roman"/>
                <w:b/>
                <w:bCs/>
                <w:color w:val="FFFFFF"/>
                <w:lang w:val="en-GB" w:eastAsia="en-GB"/>
              </w:rPr>
              <w:t>Rating</w:t>
            </w:r>
          </w:p>
        </w:tc>
        <w:tc>
          <w:tcPr>
            <w:tcW w:w="3488" w:type="pct"/>
            <w:tcBorders>
              <w:top w:val="single" w:sz="8" w:space="0" w:color="47928D"/>
              <w:left w:val="nil"/>
              <w:bottom w:val="single" w:sz="8" w:space="0" w:color="47928D"/>
              <w:right w:val="single" w:sz="8" w:space="0" w:color="47928D"/>
            </w:tcBorders>
            <w:shd w:val="clear" w:color="000000" w:fill="47928D"/>
            <w:noWrap/>
            <w:vAlign w:val="center"/>
            <w:hideMark/>
          </w:tcPr>
          <w:p w14:paraId="444BFDAC" w14:textId="77777777" w:rsidR="005304E5" w:rsidRPr="00904F74" w:rsidRDefault="005304E5" w:rsidP="005304E5">
            <w:pPr>
              <w:spacing w:after="0" w:line="240" w:lineRule="auto"/>
              <w:rPr>
                <w:rFonts w:ascii="Aptos" w:eastAsia="Times New Roman" w:hAnsi="Aptos" w:cs="Times New Roman"/>
                <w:b/>
                <w:bCs/>
                <w:color w:val="FFFFFF"/>
                <w:lang w:val="en-GB" w:eastAsia="en-GB"/>
              </w:rPr>
            </w:pPr>
            <w:r w:rsidRPr="00904F74">
              <w:rPr>
                <w:rFonts w:ascii="Aptos" w:eastAsia="Times New Roman" w:hAnsi="Aptos" w:cs="Times New Roman"/>
                <w:b/>
                <w:bCs/>
                <w:color w:val="FFFFFF"/>
                <w:lang w:val="en-GB" w:eastAsia="en-GB"/>
              </w:rPr>
              <w:t>Description</w:t>
            </w:r>
          </w:p>
        </w:tc>
      </w:tr>
      <w:tr w:rsidR="005304E5" w:rsidRPr="000F12AD" w14:paraId="54417A38" w14:textId="77777777" w:rsidTr="00904F74">
        <w:trPr>
          <w:trHeight w:val="564"/>
        </w:trPr>
        <w:tc>
          <w:tcPr>
            <w:tcW w:w="624" w:type="pct"/>
            <w:tcBorders>
              <w:top w:val="nil"/>
              <w:left w:val="single" w:sz="8" w:space="0" w:color="49938D"/>
              <w:bottom w:val="single" w:sz="8" w:space="0" w:color="49938D"/>
              <w:right w:val="single" w:sz="8" w:space="0" w:color="49938D"/>
            </w:tcBorders>
            <w:shd w:val="clear" w:color="000000" w:fill="FF0000"/>
            <w:noWrap/>
            <w:vAlign w:val="center"/>
            <w:hideMark/>
          </w:tcPr>
          <w:p w14:paraId="2DBC04B3" w14:textId="77777777" w:rsidR="005304E5" w:rsidRPr="00904F74" w:rsidRDefault="005304E5" w:rsidP="005304E5">
            <w:pPr>
              <w:spacing w:after="0" w:line="240" w:lineRule="auto"/>
              <w:jc w:val="center"/>
              <w:rPr>
                <w:rFonts w:ascii="Aptos" w:eastAsia="Times New Roman" w:hAnsi="Aptos" w:cs="Times New Roman"/>
                <w:b/>
                <w:bCs/>
                <w:color w:val="000000"/>
                <w:lang w:val="en-GB" w:eastAsia="en-GB"/>
              </w:rPr>
            </w:pPr>
            <w:r w:rsidRPr="00904F74">
              <w:rPr>
                <w:rFonts w:ascii="Aptos" w:eastAsia="Times New Roman" w:hAnsi="Aptos" w:cs="Times New Roman"/>
                <w:b/>
                <w:bCs/>
                <w:color w:val="000000"/>
                <w:lang w:val="en-GB" w:eastAsia="en-GB"/>
              </w:rPr>
              <w:t>3</w:t>
            </w:r>
          </w:p>
        </w:tc>
        <w:tc>
          <w:tcPr>
            <w:tcW w:w="888" w:type="pct"/>
            <w:tcBorders>
              <w:top w:val="nil"/>
              <w:left w:val="nil"/>
              <w:bottom w:val="single" w:sz="8" w:space="0" w:color="49938D"/>
              <w:right w:val="single" w:sz="8" w:space="0" w:color="49938D"/>
            </w:tcBorders>
            <w:noWrap/>
            <w:vAlign w:val="center"/>
            <w:hideMark/>
          </w:tcPr>
          <w:p w14:paraId="210D194D" w14:textId="77777777" w:rsidR="005304E5" w:rsidRPr="00904F74" w:rsidRDefault="005304E5" w:rsidP="005304E5">
            <w:pPr>
              <w:spacing w:after="0" w:line="240" w:lineRule="auto"/>
              <w:rPr>
                <w:rFonts w:ascii="Aptos" w:eastAsia="Times New Roman" w:hAnsi="Aptos" w:cs="Times New Roman"/>
                <w:color w:val="000000"/>
                <w:lang w:val="en-GB" w:eastAsia="en-GB"/>
              </w:rPr>
            </w:pPr>
            <w:r w:rsidRPr="00904F74">
              <w:rPr>
                <w:rFonts w:ascii="Aptos" w:eastAsia="Times New Roman" w:hAnsi="Aptos" w:cs="Times New Roman"/>
                <w:color w:val="000000"/>
                <w:lang w:val="en-GB" w:eastAsia="en-GB"/>
              </w:rPr>
              <w:t>High sensitivity</w:t>
            </w:r>
          </w:p>
        </w:tc>
        <w:tc>
          <w:tcPr>
            <w:tcW w:w="3488" w:type="pct"/>
            <w:tcBorders>
              <w:top w:val="nil"/>
              <w:left w:val="nil"/>
              <w:bottom w:val="single" w:sz="8" w:space="0" w:color="49938D"/>
              <w:right w:val="single" w:sz="8" w:space="0" w:color="49938D"/>
            </w:tcBorders>
            <w:vAlign w:val="center"/>
            <w:hideMark/>
          </w:tcPr>
          <w:p w14:paraId="0E906363" w14:textId="77777777" w:rsidR="005304E5" w:rsidRPr="00904F74" w:rsidRDefault="005304E5" w:rsidP="005304E5">
            <w:pPr>
              <w:spacing w:after="0" w:line="240" w:lineRule="auto"/>
              <w:rPr>
                <w:rFonts w:ascii="Aptos" w:eastAsia="Times New Roman" w:hAnsi="Aptos" w:cs="Times New Roman"/>
                <w:color w:val="000000"/>
                <w:lang w:val="en-GB" w:eastAsia="en-GB"/>
              </w:rPr>
            </w:pPr>
            <w:r w:rsidRPr="00904F74">
              <w:rPr>
                <w:rFonts w:ascii="Aptos" w:eastAsia="Times New Roman" w:hAnsi="Aptos" w:cs="Times New Roman"/>
                <w:color w:val="000000"/>
                <w:lang w:val="en-GB" w:eastAsia="en-GB"/>
              </w:rPr>
              <w:t>Potential loss of life or high impact caused by climate change. Difficult or impossible for systems to recover</w:t>
            </w:r>
          </w:p>
        </w:tc>
      </w:tr>
      <w:tr w:rsidR="005304E5" w:rsidRPr="000F12AD" w14:paraId="7CFB8E10" w14:textId="77777777" w:rsidTr="00904F74">
        <w:trPr>
          <w:trHeight w:val="300"/>
        </w:trPr>
        <w:tc>
          <w:tcPr>
            <w:tcW w:w="624" w:type="pct"/>
            <w:tcBorders>
              <w:top w:val="nil"/>
              <w:left w:val="single" w:sz="8" w:space="0" w:color="49938D"/>
              <w:bottom w:val="single" w:sz="8" w:space="0" w:color="49938D"/>
              <w:right w:val="single" w:sz="8" w:space="0" w:color="49938D"/>
            </w:tcBorders>
            <w:shd w:val="clear" w:color="000000" w:fill="FF6600"/>
            <w:noWrap/>
            <w:vAlign w:val="center"/>
            <w:hideMark/>
          </w:tcPr>
          <w:p w14:paraId="6EFAAB74" w14:textId="77777777" w:rsidR="005304E5" w:rsidRPr="00904F74" w:rsidRDefault="005304E5" w:rsidP="005304E5">
            <w:pPr>
              <w:spacing w:after="0" w:line="240" w:lineRule="auto"/>
              <w:jc w:val="center"/>
              <w:rPr>
                <w:rFonts w:ascii="Aptos" w:eastAsia="Times New Roman" w:hAnsi="Aptos" w:cs="Times New Roman"/>
                <w:b/>
                <w:bCs/>
                <w:color w:val="000000"/>
                <w:lang w:val="en-GB" w:eastAsia="en-GB"/>
              </w:rPr>
            </w:pPr>
            <w:r w:rsidRPr="00904F74">
              <w:rPr>
                <w:rFonts w:ascii="Aptos" w:eastAsia="Times New Roman" w:hAnsi="Aptos" w:cs="Times New Roman"/>
                <w:b/>
                <w:bCs/>
                <w:color w:val="000000"/>
                <w:lang w:val="en-GB" w:eastAsia="en-GB"/>
              </w:rPr>
              <w:t>2</w:t>
            </w:r>
          </w:p>
        </w:tc>
        <w:tc>
          <w:tcPr>
            <w:tcW w:w="888" w:type="pct"/>
            <w:tcBorders>
              <w:top w:val="nil"/>
              <w:left w:val="nil"/>
              <w:bottom w:val="single" w:sz="8" w:space="0" w:color="49938D"/>
              <w:right w:val="single" w:sz="8" w:space="0" w:color="49938D"/>
            </w:tcBorders>
            <w:noWrap/>
            <w:vAlign w:val="center"/>
            <w:hideMark/>
          </w:tcPr>
          <w:p w14:paraId="21907DAC" w14:textId="77777777" w:rsidR="005304E5" w:rsidRPr="00904F74" w:rsidRDefault="005304E5" w:rsidP="005304E5">
            <w:pPr>
              <w:spacing w:after="0" w:line="240" w:lineRule="auto"/>
              <w:rPr>
                <w:rFonts w:ascii="Aptos" w:eastAsia="Times New Roman" w:hAnsi="Aptos" w:cs="Times New Roman"/>
                <w:color w:val="000000"/>
                <w:lang w:val="en-GB" w:eastAsia="en-GB"/>
              </w:rPr>
            </w:pPr>
            <w:r w:rsidRPr="00904F74">
              <w:rPr>
                <w:rFonts w:ascii="Aptos" w:eastAsia="Times New Roman" w:hAnsi="Aptos" w:cs="Times New Roman"/>
                <w:color w:val="000000"/>
                <w:lang w:val="en-GB" w:eastAsia="en-GB"/>
              </w:rPr>
              <w:t>Significant sensitivity</w:t>
            </w:r>
          </w:p>
        </w:tc>
        <w:tc>
          <w:tcPr>
            <w:tcW w:w="3488" w:type="pct"/>
            <w:tcBorders>
              <w:top w:val="nil"/>
              <w:left w:val="nil"/>
              <w:bottom w:val="single" w:sz="8" w:space="0" w:color="49938D"/>
              <w:right w:val="single" w:sz="8" w:space="0" w:color="49938D"/>
            </w:tcBorders>
            <w:noWrap/>
            <w:vAlign w:val="center"/>
            <w:hideMark/>
          </w:tcPr>
          <w:p w14:paraId="3F320521" w14:textId="77777777" w:rsidR="005304E5" w:rsidRPr="00904F74" w:rsidRDefault="005304E5" w:rsidP="005304E5">
            <w:pPr>
              <w:spacing w:after="0" w:line="240" w:lineRule="auto"/>
              <w:rPr>
                <w:rFonts w:ascii="Aptos" w:eastAsia="Times New Roman" w:hAnsi="Aptos" w:cs="Times New Roman"/>
                <w:color w:val="000000"/>
                <w:lang w:val="en-GB" w:eastAsia="en-GB"/>
              </w:rPr>
            </w:pPr>
            <w:r w:rsidRPr="00904F74">
              <w:rPr>
                <w:rFonts w:ascii="Aptos" w:eastAsia="Times New Roman" w:hAnsi="Aptos" w:cs="Times New Roman"/>
                <w:color w:val="000000"/>
                <w:lang w:val="en-GB" w:eastAsia="en-GB"/>
              </w:rPr>
              <w:t>If climate changes event happens, high impact, but not catastrophic</w:t>
            </w:r>
          </w:p>
        </w:tc>
      </w:tr>
      <w:tr w:rsidR="005304E5" w:rsidRPr="000F12AD" w14:paraId="1ED951FA" w14:textId="77777777" w:rsidTr="00904F74">
        <w:trPr>
          <w:trHeight w:val="300"/>
        </w:trPr>
        <w:tc>
          <w:tcPr>
            <w:tcW w:w="624" w:type="pct"/>
            <w:tcBorders>
              <w:top w:val="nil"/>
              <w:left w:val="single" w:sz="8" w:space="0" w:color="49938D"/>
              <w:bottom w:val="single" w:sz="8" w:space="0" w:color="49938D"/>
              <w:right w:val="single" w:sz="8" w:space="0" w:color="49938D"/>
            </w:tcBorders>
            <w:shd w:val="clear" w:color="000000" w:fill="FFCC66"/>
            <w:noWrap/>
            <w:vAlign w:val="center"/>
            <w:hideMark/>
          </w:tcPr>
          <w:p w14:paraId="5985FC2A" w14:textId="77777777" w:rsidR="005304E5" w:rsidRPr="00904F74" w:rsidRDefault="005304E5" w:rsidP="005304E5">
            <w:pPr>
              <w:spacing w:after="0" w:line="240" w:lineRule="auto"/>
              <w:jc w:val="center"/>
              <w:rPr>
                <w:rFonts w:ascii="Aptos" w:eastAsia="Times New Roman" w:hAnsi="Aptos" w:cs="Times New Roman"/>
                <w:b/>
                <w:bCs/>
                <w:color w:val="000000"/>
                <w:lang w:val="en-GB" w:eastAsia="en-GB"/>
              </w:rPr>
            </w:pPr>
            <w:r w:rsidRPr="00904F74">
              <w:rPr>
                <w:rFonts w:ascii="Aptos" w:eastAsia="Times New Roman" w:hAnsi="Aptos" w:cs="Times New Roman"/>
                <w:b/>
                <w:bCs/>
                <w:color w:val="000000"/>
                <w:lang w:val="en-GB" w:eastAsia="en-GB"/>
              </w:rPr>
              <w:t>1</w:t>
            </w:r>
          </w:p>
        </w:tc>
        <w:tc>
          <w:tcPr>
            <w:tcW w:w="888" w:type="pct"/>
            <w:tcBorders>
              <w:top w:val="nil"/>
              <w:left w:val="nil"/>
              <w:bottom w:val="single" w:sz="8" w:space="0" w:color="49938D"/>
              <w:right w:val="single" w:sz="8" w:space="0" w:color="49938D"/>
            </w:tcBorders>
            <w:noWrap/>
            <w:vAlign w:val="center"/>
            <w:hideMark/>
          </w:tcPr>
          <w:p w14:paraId="0427B6F2" w14:textId="77777777" w:rsidR="005304E5" w:rsidRPr="00904F74" w:rsidRDefault="005304E5" w:rsidP="005304E5">
            <w:pPr>
              <w:spacing w:after="0" w:line="240" w:lineRule="auto"/>
              <w:rPr>
                <w:rFonts w:ascii="Aptos" w:eastAsia="Times New Roman" w:hAnsi="Aptos" w:cs="Times New Roman"/>
                <w:color w:val="000000"/>
                <w:lang w:val="en-GB" w:eastAsia="en-GB"/>
              </w:rPr>
            </w:pPr>
            <w:r w:rsidRPr="00904F74">
              <w:rPr>
                <w:rFonts w:ascii="Aptos" w:eastAsia="Times New Roman" w:hAnsi="Aptos" w:cs="Times New Roman"/>
                <w:color w:val="000000"/>
                <w:lang w:val="en-GB" w:eastAsia="en-GB"/>
              </w:rPr>
              <w:t>Moderate sensitivity</w:t>
            </w:r>
          </w:p>
        </w:tc>
        <w:tc>
          <w:tcPr>
            <w:tcW w:w="3488" w:type="pct"/>
            <w:tcBorders>
              <w:top w:val="nil"/>
              <w:left w:val="nil"/>
              <w:bottom w:val="single" w:sz="8" w:space="0" w:color="49938D"/>
              <w:right w:val="single" w:sz="8" w:space="0" w:color="49938D"/>
            </w:tcBorders>
            <w:noWrap/>
            <w:vAlign w:val="center"/>
            <w:hideMark/>
          </w:tcPr>
          <w:p w14:paraId="02A213AC" w14:textId="77777777" w:rsidR="005304E5" w:rsidRPr="00904F74" w:rsidRDefault="005304E5" w:rsidP="005304E5">
            <w:pPr>
              <w:spacing w:after="0" w:line="240" w:lineRule="auto"/>
              <w:rPr>
                <w:rFonts w:ascii="Aptos" w:eastAsia="Times New Roman" w:hAnsi="Aptos" w:cs="Times New Roman"/>
                <w:color w:val="000000"/>
                <w:lang w:val="en-GB" w:eastAsia="en-GB"/>
              </w:rPr>
            </w:pPr>
            <w:r w:rsidRPr="00904F74">
              <w:rPr>
                <w:rFonts w:ascii="Aptos" w:eastAsia="Times New Roman" w:hAnsi="Aptos" w:cs="Times New Roman"/>
                <w:color w:val="000000"/>
                <w:lang w:val="en-GB" w:eastAsia="en-GB"/>
              </w:rPr>
              <w:t>If climate changes event happens, there is an impact, but not very disruptive</w:t>
            </w:r>
          </w:p>
        </w:tc>
      </w:tr>
      <w:tr w:rsidR="005304E5" w:rsidRPr="000F12AD" w14:paraId="00582C2C" w14:textId="77777777" w:rsidTr="00904F74">
        <w:trPr>
          <w:trHeight w:val="300"/>
        </w:trPr>
        <w:tc>
          <w:tcPr>
            <w:tcW w:w="624" w:type="pct"/>
            <w:tcBorders>
              <w:top w:val="nil"/>
              <w:left w:val="single" w:sz="8" w:space="0" w:color="49938D"/>
              <w:bottom w:val="single" w:sz="8" w:space="0" w:color="49938D"/>
              <w:right w:val="single" w:sz="8" w:space="0" w:color="49938D"/>
            </w:tcBorders>
            <w:shd w:val="clear" w:color="000000" w:fill="92D050"/>
            <w:noWrap/>
            <w:vAlign w:val="center"/>
            <w:hideMark/>
          </w:tcPr>
          <w:p w14:paraId="122AA8E9" w14:textId="77777777" w:rsidR="005304E5" w:rsidRPr="00904F74" w:rsidRDefault="005304E5" w:rsidP="005304E5">
            <w:pPr>
              <w:spacing w:after="0" w:line="240" w:lineRule="auto"/>
              <w:jc w:val="center"/>
              <w:rPr>
                <w:rFonts w:ascii="Aptos" w:eastAsia="Times New Roman" w:hAnsi="Aptos" w:cs="Times New Roman"/>
                <w:b/>
                <w:bCs/>
                <w:color w:val="000000"/>
                <w:lang w:val="en-GB" w:eastAsia="en-GB"/>
              </w:rPr>
            </w:pPr>
            <w:r w:rsidRPr="00904F74">
              <w:rPr>
                <w:rFonts w:ascii="Aptos" w:eastAsia="Times New Roman" w:hAnsi="Aptos" w:cs="Times New Roman"/>
                <w:b/>
                <w:bCs/>
                <w:color w:val="000000"/>
                <w:lang w:val="en-GB" w:eastAsia="en-GB"/>
              </w:rPr>
              <w:t>0</w:t>
            </w:r>
          </w:p>
        </w:tc>
        <w:tc>
          <w:tcPr>
            <w:tcW w:w="888" w:type="pct"/>
            <w:tcBorders>
              <w:top w:val="nil"/>
              <w:left w:val="nil"/>
              <w:bottom w:val="single" w:sz="8" w:space="0" w:color="49938D"/>
              <w:right w:val="single" w:sz="8" w:space="0" w:color="49938D"/>
            </w:tcBorders>
            <w:noWrap/>
            <w:vAlign w:val="center"/>
            <w:hideMark/>
          </w:tcPr>
          <w:p w14:paraId="099EA8E5" w14:textId="77777777" w:rsidR="005304E5" w:rsidRPr="00904F74" w:rsidRDefault="005304E5" w:rsidP="005304E5">
            <w:pPr>
              <w:spacing w:after="0" w:line="240" w:lineRule="auto"/>
              <w:rPr>
                <w:rFonts w:ascii="Aptos" w:eastAsia="Times New Roman" w:hAnsi="Aptos" w:cs="Times New Roman"/>
                <w:color w:val="000000"/>
                <w:lang w:val="en-GB" w:eastAsia="en-GB"/>
              </w:rPr>
            </w:pPr>
            <w:r w:rsidRPr="00904F74">
              <w:rPr>
                <w:rFonts w:ascii="Aptos" w:eastAsia="Times New Roman" w:hAnsi="Aptos" w:cs="Times New Roman"/>
                <w:color w:val="000000"/>
                <w:lang w:val="en-GB" w:eastAsia="en-GB"/>
              </w:rPr>
              <w:t>None or low sensitivity</w:t>
            </w:r>
          </w:p>
        </w:tc>
        <w:tc>
          <w:tcPr>
            <w:tcW w:w="3488" w:type="pct"/>
            <w:tcBorders>
              <w:top w:val="nil"/>
              <w:left w:val="nil"/>
              <w:bottom w:val="single" w:sz="8" w:space="0" w:color="49938D"/>
              <w:right w:val="single" w:sz="8" w:space="0" w:color="49938D"/>
            </w:tcBorders>
            <w:noWrap/>
            <w:vAlign w:val="center"/>
            <w:hideMark/>
          </w:tcPr>
          <w:p w14:paraId="26C22026" w14:textId="77777777" w:rsidR="005304E5" w:rsidRPr="00904F74" w:rsidRDefault="005304E5" w:rsidP="005304E5">
            <w:pPr>
              <w:spacing w:after="0" w:line="240" w:lineRule="auto"/>
              <w:rPr>
                <w:rFonts w:ascii="Aptos" w:eastAsia="Times New Roman" w:hAnsi="Aptos" w:cs="Times New Roman"/>
                <w:color w:val="000000"/>
                <w:lang w:val="en-GB" w:eastAsia="en-GB"/>
              </w:rPr>
            </w:pPr>
            <w:r w:rsidRPr="00904F74">
              <w:rPr>
                <w:rFonts w:ascii="Aptos" w:eastAsia="Times New Roman" w:hAnsi="Aptos" w:cs="Times New Roman"/>
                <w:color w:val="000000"/>
                <w:lang w:val="en-GB" w:eastAsia="en-GB"/>
              </w:rPr>
              <w:t>Limited or no consequence from climate event</w:t>
            </w:r>
          </w:p>
        </w:tc>
      </w:tr>
    </w:tbl>
    <w:p w14:paraId="27F39FF9" w14:textId="77777777" w:rsidR="005304E5" w:rsidRDefault="005304E5" w:rsidP="00544ADD">
      <w:pPr>
        <w:rPr>
          <w:lang w:val="en-GB"/>
        </w:rPr>
      </w:pPr>
    </w:p>
    <w:p w14:paraId="41C7C5B0" w14:textId="77777777" w:rsidR="005304E5" w:rsidRPr="005304E5" w:rsidRDefault="005304E5" w:rsidP="00904F74">
      <w:pPr>
        <w:pStyle w:val="Heading2"/>
      </w:pPr>
      <w:r w:rsidRPr="005304E5">
        <w:lastRenderedPageBreak/>
        <w:t>Adaptive Capacity</w:t>
      </w:r>
    </w:p>
    <w:p w14:paraId="41993A00" w14:textId="16F16410" w:rsidR="005304E5" w:rsidRDefault="005304E5" w:rsidP="005304E5">
      <w:pPr>
        <w:rPr>
          <w:lang w:val="en-GB"/>
        </w:rPr>
      </w:pPr>
      <w:r w:rsidRPr="005304E5">
        <w:rPr>
          <w:lang w:val="en-GB"/>
        </w:rPr>
        <w:t>The ability of current systems, institutions, structural units, humans and other organisms to adjust to potential damage, to take advantage of opportunities, or to respond to consequences</w:t>
      </w:r>
    </w:p>
    <w:tbl>
      <w:tblPr>
        <w:tblW w:w="5000" w:type="pct"/>
        <w:tblLayout w:type="fixed"/>
        <w:tblLook w:val="04A0" w:firstRow="1" w:lastRow="0" w:firstColumn="1" w:lastColumn="0" w:noHBand="0" w:noVBand="1"/>
      </w:tblPr>
      <w:tblGrid>
        <w:gridCol w:w="984"/>
        <w:gridCol w:w="2125"/>
        <w:gridCol w:w="5897"/>
      </w:tblGrid>
      <w:tr w:rsidR="005304E5" w:rsidRPr="000F12AD" w14:paraId="588A4F8C" w14:textId="77777777" w:rsidTr="00904F74">
        <w:trPr>
          <w:trHeight w:val="300"/>
          <w:tblHeader/>
        </w:trPr>
        <w:tc>
          <w:tcPr>
            <w:tcW w:w="546" w:type="pct"/>
            <w:tcBorders>
              <w:top w:val="single" w:sz="8" w:space="0" w:color="47928D"/>
              <w:left w:val="single" w:sz="8" w:space="0" w:color="47928D"/>
              <w:bottom w:val="single" w:sz="8" w:space="0" w:color="47928D"/>
              <w:right w:val="nil"/>
            </w:tcBorders>
            <w:shd w:val="clear" w:color="000000" w:fill="47928D"/>
            <w:noWrap/>
            <w:vAlign w:val="center"/>
            <w:hideMark/>
          </w:tcPr>
          <w:p w14:paraId="39B728F7" w14:textId="77777777" w:rsidR="005304E5" w:rsidRPr="00904F74" w:rsidRDefault="005304E5" w:rsidP="005304E5">
            <w:pPr>
              <w:spacing w:after="0" w:line="240" w:lineRule="auto"/>
              <w:rPr>
                <w:rFonts w:ascii="Aptos" w:eastAsia="Times New Roman" w:hAnsi="Aptos" w:cs="Times New Roman"/>
                <w:b/>
                <w:bCs/>
                <w:color w:val="FFFFFF"/>
                <w:lang w:val="en-GB" w:eastAsia="en-GB"/>
              </w:rPr>
            </w:pPr>
            <w:r w:rsidRPr="00904F74">
              <w:rPr>
                <w:rFonts w:ascii="Aptos" w:eastAsia="Times New Roman" w:hAnsi="Aptos" w:cs="Times New Roman"/>
                <w:b/>
                <w:bCs/>
                <w:color w:val="FFFFFF"/>
                <w:lang w:val="en-GB" w:eastAsia="en-GB"/>
              </w:rPr>
              <w:t>Score</w:t>
            </w:r>
          </w:p>
        </w:tc>
        <w:tc>
          <w:tcPr>
            <w:tcW w:w="1180" w:type="pct"/>
            <w:tcBorders>
              <w:top w:val="single" w:sz="8" w:space="0" w:color="47928D"/>
              <w:left w:val="nil"/>
              <w:bottom w:val="single" w:sz="8" w:space="0" w:color="47928D"/>
              <w:right w:val="single" w:sz="8" w:space="0" w:color="47928D"/>
            </w:tcBorders>
            <w:shd w:val="clear" w:color="000000" w:fill="47928D"/>
            <w:noWrap/>
            <w:vAlign w:val="center"/>
            <w:hideMark/>
          </w:tcPr>
          <w:p w14:paraId="42AB5E00" w14:textId="77777777" w:rsidR="005304E5" w:rsidRPr="00904F74" w:rsidRDefault="005304E5" w:rsidP="005304E5">
            <w:pPr>
              <w:spacing w:after="0" w:line="240" w:lineRule="auto"/>
              <w:rPr>
                <w:rFonts w:ascii="Aptos" w:eastAsia="Times New Roman" w:hAnsi="Aptos" w:cs="Times New Roman"/>
                <w:b/>
                <w:bCs/>
                <w:color w:val="FFFFFF"/>
                <w:lang w:val="en-GB" w:eastAsia="en-GB"/>
              </w:rPr>
            </w:pPr>
            <w:r w:rsidRPr="00904F74">
              <w:rPr>
                <w:rFonts w:ascii="Aptos" w:eastAsia="Times New Roman" w:hAnsi="Aptos" w:cs="Times New Roman"/>
                <w:b/>
                <w:bCs/>
                <w:color w:val="FFFFFF"/>
                <w:lang w:val="en-GB" w:eastAsia="en-GB"/>
              </w:rPr>
              <w:t>Rating</w:t>
            </w:r>
          </w:p>
        </w:tc>
        <w:tc>
          <w:tcPr>
            <w:tcW w:w="3274" w:type="pct"/>
            <w:tcBorders>
              <w:top w:val="single" w:sz="8" w:space="0" w:color="47928D"/>
              <w:left w:val="nil"/>
              <w:bottom w:val="single" w:sz="8" w:space="0" w:color="47928D"/>
              <w:right w:val="single" w:sz="8" w:space="0" w:color="47928D"/>
            </w:tcBorders>
            <w:shd w:val="clear" w:color="000000" w:fill="47928D"/>
            <w:noWrap/>
            <w:vAlign w:val="center"/>
            <w:hideMark/>
          </w:tcPr>
          <w:p w14:paraId="434210C6" w14:textId="77777777" w:rsidR="005304E5" w:rsidRPr="00904F74" w:rsidRDefault="005304E5" w:rsidP="005304E5">
            <w:pPr>
              <w:spacing w:after="0" w:line="240" w:lineRule="auto"/>
              <w:rPr>
                <w:rFonts w:ascii="Aptos" w:eastAsia="Times New Roman" w:hAnsi="Aptos" w:cs="Times New Roman"/>
                <w:b/>
                <w:bCs/>
                <w:color w:val="FFFFFF"/>
                <w:lang w:val="en-GB" w:eastAsia="en-GB"/>
              </w:rPr>
            </w:pPr>
            <w:r w:rsidRPr="00904F74">
              <w:rPr>
                <w:rFonts w:ascii="Aptos" w:eastAsia="Times New Roman" w:hAnsi="Aptos" w:cs="Times New Roman"/>
                <w:b/>
                <w:bCs/>
                <w:color w:val="FFFFFF"/>
                <w:lang w:val="en-GB" w:eastAsia="en-GB"/>
              </w:rPr>
              <w:t>Description</w:t>
            </w:r>
          </w:p>
        </w:tc>
      </w:tr>
      <w:tr w:rsidR="005304E5" w:rsidRPr="000F12AD" w14:paraId="7EC0C3E6" w14:textId="77777777" w:rsidTr="00904F74">
        <w:trPr>
          <w:trHeight w:val="564"/>
        </w:trPr>
        <w:tc>
          <w:tcPr>
            <w:tcW w:w="546" w:type="pct"/>
            <w:tcBorders>
              <w:top w:val="nil"/>
              <w:left w:val="single" w:sz="8" w:space="0" w:color="49938D"/>
              <w:bottom w:val="single" w:sz="8" w:space="0" w:color="49938D"/>
              <w:right w:val="single" w:sz="8" w:space="0" w:color="49938D"/>
            </w:tcBorders>
            <w:shd w:val="clear" w:color="000000" w:fill="FF0000"/>
            <w:noWrap/>
            <w:vAlign w:val="center"/>
            <w:hideMark/>
          </w:tcPr>
          <w:p w14:paraId="4D1AA2F9" w14:textId="77777777" w:rsidR="005304E5" w:rsidRPr="00904F74" w:rsidRDefault="005304E5" w:rsidP="005304E5">
            <w:pPr>
              <w:spacing w:after="0" w:line="240" w:lineRule="auto"/>
              <w:jc w:val="center"/>
              <w:rPr>
                <w:rFonts w:ascii="Aptos" w:eastAsia="Times New Roman" w:hAnsi="Aptos" w:cs="Times New Roman"/>
                <w:b/>
                <w:bCs/>
                <w:color w:val="000000"/>
                <w:lang w:val="en-GB" w:eastAsia="en-GB"/>
              </w:rPr>
            </w:pPr>
            <w:r w:rsidRPr="00904F74">
              <w:rPr>
                <w:rFonts w:ascii="Aptos" w:eastAsia="Times New Roman" w:hAnsi="Aptos" w:cs="Times New Roman"/>
                <w:b/>
                <w:bCs/>
                <w:color w:val="000000"/>
                <w:lang w:val="en-GB" w:eastAsia="en-GB"/>
              </w:rPr>
              <w:t>0</w:t>
            </w:r>
          </w:p>
        </w:tc>
        <w:tc>
          <w:tcPr>
            <w:tcW w:w="1180" w:type="pct"/>
            <w:tcBorders>
              <w:top w:val="nil"/>
              <w:left w:val="nil"/>
              <w:bottom w:val="single" w:sz="8" w:space="0" w:color="49938D"/>
              <w:right w:val="single" w:sz="8" w:space="0" w:color="49938D"/>
            </w:tcBorders>
            <w:noWrap/>
            <w:vAlign w:val="center"/>
            <w:hideMark/>
          </w:tcPr>
          <w:p w14:paraId="11EB00A1" w14:textId="77777777" w:rsidR="005304E5" w:rsidRPr="00904F74" w:rsidRDefault="005304E5" w:rsidP="005304E5">
            <w:pPr>
              <w:spacing w:after="0" w:line="240" w:lineRule="auto"/>
              <w:rPr>
                <w:rFonts w:ascii="Aptos" w:eastAsia="Times New Roman" w:hAnsi="Aptos" w:cs="Times New Roman"/>
                <w:color w:val="000000"/>
                <w:lang w:val="en-GB" w:eastAsia="en-GB"/>
              </w:rPr>
            </w:pPr>
            <w:r w:rsidRPr="00904F74">
              <w:rPr>
                <w:rFonts w:ascii="Aptos" w:eastAsia="Times New Roman" w:hAnsi="Aptos" w:cs="Times New Roman"/>
                <w:color w:val="000000"/>
                <w:lang w:val="en-GB" w:eastAsia="en-GB"/>
              </w:rPr>
              <w:t>Low or No Adaptive Capacity</w:t>
            </w:r>
          </w:p>
        </w:tc>
        <w:tc>
          <w:tcPr>
            <w:tcW w:w="3274" w:type="pct"/>
            <w:tcBorders>
              <w:top w:val="nil"/>
              <w:left w:val="nil"/>
              <w:bottom w:val="single" w:sz="8" w:space="0" w:color="49938D"/>
              <w:right w:val="single" w:sz="8" w:space="0" w:color="49938D"/>
            </w:tcBorders>
            <w:vAlign w:val="center"/>
            <w:hideMark/>
          </w:tcPr>
          <w:p w14:paraId="7F83CF9D" w14:textId="77777777" w:rsidR="005304E5" w:rsidRPr="00904F74" w:rsidRDefault="005304E5" w:rsidP="005304E5">
            <w:pPr>
              <w:spacing w:after="0" w:line="240" w:lineRule="auto"/>
              <w:rPr>
                <w:rFonts w:ascii="Aptos" w:eastAsia="Times New Roman" w:hAnsi="Aptos" w:cs="Times New Roman"/>
                <w:color w:val="000000"/>
                <w:lang w:val="en-GB" w:eastAsia="en-GB"/>
              </w:rPr>
            </w:pPr>
            <w:r w:rsidRPr="00904F74">
              <w:rPr>
                <w:rFonts w:ascii="Aptos" w:eastAsia="Times New Roman" w:hAnsi="Aptos" w:cs="Times New Roman"/>
                <w:color w:val="000000"/>
                <w:lang w:val="en-GB" w:eastAsia="en-GB"/>
              </w:rPr>
              <w:t>Limited or no local or national policies or programmes in place to currently address specific risk/opportunity</w:t>
            </w:r>
          </w:p>
        </w:tc>
      </w:tr>
      <w:tr w:rsidR="005304E5" w:rsidRPr="000F12AD" w14:paraId="0A0DD5FE" w14:textId="77777777" w:rsidTr="00904F74">
        <w:trPr>
          <w:trHeight w:val="564"/>
        </w:trPr>
        <w:tc>
          <w:tcPr>
            <w:tcW w:w="546" w:type="pct"/>
            <w:tcBorders>
              <w:top w:val="nil"/>
              <w:left w:val="single" w:sz="8" w:space="0" w:color="49938D"/>
              <w:bottom w:val="single" w:sz="8" w:space="0" w:color="49938D"/>
              <w:right w:val="single" w:sz="8" w:space="0" w:color="49938D"/>
            </w:tcBorders>
            <w:shd w:val="clear" w:color="000000" w:fill="FF6600"/>
            <w:noWrap/>
            <w:vAlign w:val="center"/>
            <w:hideMark/>
          </w:tcPr>
          <w:p w14:paraId="44285726" w14:textId="77777777" w:rsidR="005304E5" w:rsidRPr="00904F74" w:rsidRDefault="005304E5" w:rsidP="005304E5">
            <w:pPr>
              <w:spacing w:after="0" w:line="240" w:lineRule="auto"/>
              <w:jc w:val="center"/>
              <w:rPr>
                <w:rFonts w:ascii="Aptos" w:eastAsia="Times New Roman" w:hAnsi="Aptos" w:cs="Times New Roman"/>
                <w:b/>
                <w:bCs/>
                <w:color w:val="000000"/>
                <w:lang w:val="en-GB" w:eastAsia="en-GB"/>
              </w:rPr>
            </w:pPr>
            <w:r w:rsidRPr="00904F74">
              <w:rPr>
                <w:rFonts w:ascii="Aptos" w:eastAsia="Times New Roman" w:hAnsi="Aptos" w:cs="Times New Roman"/>
                <w:b/>
                <w:bCs/>
                <w:color w:val="000000"/>
                <w:lang w:val="en-GB" w:eastAsia="en-GB"/>
              </w:rPr>
              <w:t>1</w:t>
            </w:r>
          </w:p>
        </w:tc>
        <w:tc>
          <w:tcPr>
            <w:tcW w:w="1180" w:type="pct"/>
            <w:tcBorders>
              <w:top w:val="nil"/>
              <w:left w:val="nil"/>
              <w:bottom w:val="single" w:sz="8" w:space="0" w:color="49938D"/>
              <w:right w:val="single" w:sz="8" w:space="0" w:color="49938D"/>
            </w:tcBorders>
            <w:noWrap/>
            <w:vAlign w:val="center"/>
            <w:hideMark/>
          </w:tcPr>
          <w:p w14:paraId="5AA42BBD" w14:textId="77777777" w:rsidR="005304E5" w:rsidRPr="00904F74" w:rsidRDefault="005304E5" w:rsidP="005304E5">
            <w:pPr>
              <w:spacing w:after="0" w:line="240" w:lineRule="auto"/>
              <w:rPr>
                <w:rFonts w:ascii="Aptos" w:eastAsia="Times New Roman" w:hAnsi="Aptos" w:cs="Times New Roman"/>
                <w:color w:val="000000"/>
                <w:lang w:val="en-GB" w:eastAsia="en-GB"/>
              </w:rPr>
            </w:pPr>
            <w:r w:rsidRPr="00904F74">
              <w:rPr>
                <w:rFonts w:ascii="Aptos" w:eastAsia="Times New Roman" w:hAnsi="Aptos" w:cs="Times New Roman"/>
                <w:color w:val="000000"/>
                <w:lang w:val="en-GB" w:eastAsia="en-GB"/>
              </w:rPr>
              <w:t>Moderate Adaptive Capacity</w:t>
            </w:r>
          </w:p>
        </w:tc>
        <w:tc>
          <w:tcPr>
            <w:tcW w:w="3274" w:type="pct"/>
            <w:tcBorders>
              <w:top w:val="nil"/>
              <w:left w:val="nil"/>
              <w:bottom w:val="single" w:sz="8" w:space="0" w:color="49938D"/>
              <w:right w:val="single" w:sz="8" w:space="0" w:color="49938D"/>
            </w:tcBorders>
            <w:vAlign w:val="center"/>
            <w:hideMark/>
          </w:tcPr>
          <w:p w14:paraId="672ED0D1" w14:textId="77777777" w:rsidR="005304E5" w:rsidRPr="00904F74" w:rsidRDefault="005304E5" w:rsidP="005304E5">
            <w:pPr>
              <w:spacing w:after="0" w:line="240" w:lineRule="auto"/>
              <w:rPr>
                <w:rFonts w:ascii="Aptos" w:eastAsia="Times New Roman" w:hAnsi="Aptos" w:cs="Times New Roman"/>
                <w:color w:val="000000"/>
                <w:lang w:val="en-GB" w:eastAsia="en-GB"/>
              </w:rPr>
            </w:pPr>
            <w:r w:rsidRPr="00904F74">
              <w:rPr>
                <w:rFonts w:ascii="Aptos" w:eastAsia="Times New Roman" w:hAnsi="Aptos" w:cs="Times New Roman"/>
                <w:color w:val="000000"/>
                <w:lang w:val="en-GB" w:eastAsia="en-GB"/>
              </w:rPr>
              <w:t xml:space="preserve">Either some local or national policies and programmes in place, that may </w:t>
            </w:r>
            <w:r w:rsidRPr="00904F74">
              <w:rPr>
                <w:rFonts w:ascii="Aptos" w:eastAsia="Times New Roman" w:hAnsi="Aptos" w:cs="Times New Roman"/>
                <w:color w:val="000000"/>
                <w:u w:val="single"/>
                <w:lang w:val="en-GB" w:eastAsia="en-GB"/>
              </w:rPr>
              <w:t xml:space="preserve">indirectly </w:t>
            </w:r>
            <w:r w:rsidRPr="00904F74">
              <w:rPr>
                <w:rFonts w:ascii="Aptos" w:eastAsia="Times New Roman" w:hAnsi="Aptos" w:cs="Times New Roman"/>
                <w:color w:val="000000"/>
                <w:lang w:val="en-GB" w:eastAsia="en-GB"/>
              </w:rPr>
              <w:t>address risk/opportunity or are limited in scope</w:t>
            </w:r>
          </w:p>
        </w:tc>
      </w:tr>
      <w:tr w:rsidR="005304E5" w:rsidRPr="000F12AD" w14:paraId="267CE8DD" w14:textId="77777777" w:rsidTr="00904F74">
        <w:trPr>
          <w:trHeight w:val="564"/>
        </w:trPr>
        <w:tc>
          <w:tcPr>
            <w:tcW w:w="546" w:type="pct"/>
            <w:tcBorders>
              <w:top w:val="nil"/>
              <w:left w:val="single" w:sz="8" w:space="0" w:color="49938D"/>
              <w:bottom w:val="single" w:sz="8" w:space="0" w:color="49938D"/>
              <w:right w:val="single" w:sz="8" w:space="0" w:color="49938D"/>
            </w:tcBorders>
            <w:shd w:val="clear" w:color="000000" w:fill="FFCC66"/>
            <w:noWrap/>
            <w:vAlign w:val="center"/>
            <w:hideMark/>
          </w:tcPr>
          <w:p w14:paraId="4FD7329C" w14:textId="77777777" w:rsidR="005304E5" w:rsidRPr="00904F74" w:rsidRDefault="005304E5" w:rsidP="005304E5">
            <w:pPr>
              <w:spacing w:after="0" w:line="240" w:lineRule="auto"/>
              <w:jc w:val="center"/>
              <w:rPr>
                <w:rFonts w:ascii="Aptos" w:eastAsia="Times New Roman" w:hAnsi="Aptos" w:cs="Times New Roman"/>
                <w:b/>
                <w:bCs/>
                <w:color w:val="000000"/>
                <w:lang w:val="en-GB" w:eastAsia="en-GB"/>
              </w:rPr>
            </w:pPr>
            <w:r w:rsidRPr="00904F74">
              <w:rPr>
                <w:rFonts w:ascii="Aptos" w:eastAsia="Times New Roman" w:hAnsi="Aptos" w:cs="Times New Roman"/>
                <w:b/>
                <w:bCs/>
                <w:color w:val="000000"/>
                <w:lang w:val="en-GB" w:eastAsia="en-GB"/>
              </w:rPr>
              <w:t>2</w:t>
            </w:r>
          </w:p>
        </w:tc>
        <w:tc>
          <w:tcPr>
            <w:tcW w:w="1180" w:type="pct"/>
            <w:tcBorders>
              <w:top w:val="nil"/>
              <w:left w:val="nil"/>
              <w:bottom w:val="single" w:sz="8" w:space="0" w:color="49938D"/>
              <w:right w:val="single" w:sz="8" w:space="0" w:color="49938D"/>
            </w:tcBorders>
            <w:noWrap/>
            <w:vAlign w:val="center"/>
            <w:hideMark/>
          </w:tcPr>
          <w:p w14:paraId="0DBD7380" w14:textId="77777777" w:rsidR="005304E5" w:rsidRPr="00904F74" w:rsidRDefault="005304E5" w:rsidP="005304E5">
            <w:pPr>
              <w:spacing w:after="0" w:line="240" w:lineRule="auto"/>
              <w:rPr>
                <w:rFonts w:ascii="Aptos" w:eastAsia="Times New Roman" w:hAnsi="Aptos" w:cs="Times New Roman"/>
                <w:color w:val="000000"/>
                <w:lang w:val="en-GB" w:eastAsia="en-GB"/>
              </w:rPr>
            </w:pPr>
            <w:r w:rsidRPr="00904F74">
              <w:rPr>
                <w:rFonts w:ascii="Aptos" w:eastAsia="Times New Roman" w:hAnsi="Aptos" w:cs="Times New Roman"/>
                <w:color w:val="000000"/>
                <w:lang w:val="en-GB" w:eastAsia="en-GB"/>
              </w:rPr>
              <w:t>Significant Adaptive Capacity</w:t>
            </w:r>
          </w:p>
        </w:tc>
        <w:tc>
          <w:tcPr>
            <w:tcW w:w="3274" w:type="pct"/>
            <w:tcBorders>
              <w:top w:val="nil"/>
              <w:left w:val="nil"/>
              <w:bottom w:val="single" w:sz="8" w:space="0" w:color="49938D"/>
              <w:right w:val="single" w:sz="8" w:space="0" w:color="49938D"/>
            </w:tcBorders>
            <w:vAlign w:val="center"/>
            <w:hideMark/>
          </w:tcPr>
          <w:p w14:paraId="3804AD66" w14:textId="77777777" w:rsidR="005304E5" w:rsidRPr="00904F74" w:rsidRDefault="005304E5" w:rsidP="005304E5">
            <w:pPr>
              <w:spacing w:after="0" w:line="240" w:lineRule="auto"/>
              <w:rPr>
                <w:rFonts w:ascii="Aptos" w:eastAsia="Times New Roman" w:hAnsi="Aptos" w:cs="Times New Roman"/>
                <w:color w:val="000000"/>
                <w:lang w:val="en-GB" w:eastAsia="en-GB"/>
              </w:rPr>
            </w:pPr>
            <w:r w:rsidRPr="00904F74">
              <w:rPr>
                <w:rFonts w:ascii="Aptos" w:eastAsia="Times New Roman" w:hAnsi="Aptos" w:cs="Times New Roman"/>
                <w:color w:val="000000"/>
                <w:lang w:val="en-GB" w:eastAsia="en-GB"/>
              </w:rPr>
              <w:t xml:space="preserve">Either local or national policies and programmes in place specifically addressing risk, but there are still gaps </w:t>
            </w:r>
          </w:p>
        </w:tc>
      </w:tr>
      <w:tr w:rsidR="005304E5" w:rsidRPr="000F12AD" w14:paraId="294167EF" w14:textId="77777777" w:rsidTr="00904F74">
        <w:trPr>
          <w:trHeight w:val="564"/>
        </w:trPr>
        <w:tc>
          <w:tcPr>
            <w:tcW w:w="546" w:type="pct"/>
            <w:tcBorders>
              <w:top w:val="nil"/>
              <w:left w:val="single" w:sz="8" w:space="0" w:color="49938D"/>
              <w:bottom w:val="single" w:sz="8" w:space="0" w:color="49938D"/>
              <w:right w:val="single" w:sz="8" w:space="0" w:color="49938D"/>
            </w:tcBorders>
            <w:shd w:val="clear" w:color="000000" w:fill="92D050"/>
            <w:noWrap/>
            <w:vAlign w:val="center"/>
            <w:hideMark/>
          </w:tcPr>
          <w:p w14:paraId="20FE32B7" w14:textId="77777777" w:rsidR="005304E5" w:rsidRPr="00904F74" w:rsidRDefault="005304E5" w:rsidP="005304E5">
            <w:pPr>
              <w:spacing w:after="0" w:line="240" w:lineRule="auto"/>
              <w:jc w:val="center"/>
              <w:rPr>
                <w:rFonts w:ascii="Aptos" w:eastAsia="Times New Roman" w:hAnsi="Aptos" w:cs="Times New Roman"/>
                <w:b/>
                <w:bCs/>
                <w:color w:val="000000"/>
                <w:lang w:val="en-GB" w:eastAsia="en-GB"/>
              </w:rPr>
            </w:pPr>
            <w:r w:rsidRPr="00904F74">
              <w:rPr>
                <w:rFonts w:ascii="Aptos" w:eastAsia="Times New Roman" w:hAnsi="Aptos" w:cs="Times New Roman"/>
                <w:b/>
                <w:bCs/>
                <w:color w:val="000000"/>
                <w:lang w:val="en-GB" w:eastAsia="en-GB"/>
              </w:rPr>
              <w:t>3</w:t>
            </w:r>
          </w:p>
        </w:tc>
        <w:tc>
          <w:tcPr>
            <w:tcW w:w="1180" w:type="pct"/>
            <w:tcBorders>
              <w:top w:val="nil"/>
              <w:left w:val="nil"/>
              <w:bottom w:val="single" w:sz="8" w:space="0" w:color="49938D"/>
              <w:right w:val="single" w:sz="8" w:space="0" w:color="49938D"/>
            </w:tcBorders>
            <w:noWrap/>
            <w:vAlign w:val="center"/>
            <w:hideMark/>
          </w:tcPr>
          <w:p w14:paraId="52EC5472" w14:textId="77777777" w:rsidR="005304E5" w:rsidRPr="00904F74" w:rsidRDefault="005304E5" w:rsidP="005304E5">
            <w:pPr>
              <w:spacing w:after="0" w:line="240" w:lineRule="auto"/>
              <w:rPr>
                <w:rFonts w:ascii="Aptos" w:eastAsia="Times New Roman" w:hAnsi="Aptos" w:cs="Times New Roman"/>
                <w:color w:val="000000"/>
                <w:lang w:val="en-GB" w:eastAsia="en-GB"/>
              </w:rPr>
            </w:pPr>
            <w:r w:rsidRPr="00904F74">
              <w:rPr>
                <w:rFonts w:ascii="Aptos" w:eastAsia="Times New Roman" w:hAnsi="Aptos" w:cs="Times New Roman"/>
                <w:color w:val="000000"/>
                <w:lang w:val="en-GB" w:eastAsia="en-GB"/>
              </w:rPr>
              <w:t>High Adaptive Capacity</w:t>
            </w:r>
          </w:p>
        </w:tc>
        <w:tc>
          <w:tcPr>
            <w:tcW w:w="3274" w:type="pct"/>
            <w:tcBorders>
              <w:top w:val="nil"/>
              <w:left w:val="nil"/>
              <w:bottom w:val="single" w:sz="8" w:space="0" w:color="49938D"/>
              <w:right w:val="single" w:sz="8" w:space="0" w:color="49938D"/>
            </w:tcBorders>
            <w:vAlign w:val="center"/>
            <w:hideMark/>
          </w:tcPr>
          <w:p w14:paraId="4F707B92" w14:textId="77777777" w:rsidR="005304E5" w:rsidRPr="00904F74" w:rsidRDefault="005304E5" w:rsidP="005304E5">
            <w:pPr>
              <w:spacing w:after="0" w:line="240" w:lineRule="auto"/>
              <w:rPr>
                <w:rFonts w:ascii="Aptos" w:eastAsia="Times New Roman" w:hAnsi="Aptos" w:cs="Times New Roman"/>
                <w:color w:val="000000"/>
                <w:lang w:val="en-GB" w:eastAsia="en-GB"/>
              </w:rPr>
            </w:pPr>
            <w:r w:rsidRPr="00904F74">
              <w:rPr>
                <w:rFonts w:ascii="Aptos" w:eastAsia="Times New Roman" w:hAnsi="Aptos" w:cs="Times New Roman"/>
                <w:color w:val="000000"/>
                <w:lang w:val="en-GB" w:eastAsia="en-GB"/>
              </w:rPr>
              <w:t>Well established systems (policies, programmes) that are currently addressing this risk</w:t>
            </w:r>
          </w:p>
        </w:tc>
      </w:tr>
    </w:tbl>
    <w:p w14:paraId="04C4D96C" w14:textId="77777777" w:rsidR="005304E5" w:rsidRDefault="005304E5" w:rsidP="005304E5">
      <w:pPr>
        <w:rPr>
          <w:lang w:val="en-GB"/>
        </w:rPr>
      </w:pPr>
    </w:p>
    <w:p w14:paraId="4C0D0734" w14:textId="77777777" w:rsidR="001C414F" w:rsidRDefault="005304E5" w:rsidP="00CB42FD">
      <w:pPr>
        <w:pStyle w:val="Heading2"/>
      </w:pPr>
      <w:r>
        <w:t>Vulnerab</w:t>
      </w:r>
      <w:r w:rsidR="001C414F">
        <w:t>i</w:t>
      </w:r>
      <w:r>
        <w:t>l</w:t>
      </w:r>
      <w:r w:rsidR="001C414F">
        <w:t>ity</w:t>
      </w:r>
    </w:p>
    <w:p w14:paraId="615484F6" w14:textId="0255D635" w:rsidR="00CB42FD" w:rsidRPr="00904F74" w:rsidRDefault="00A8131A" w:rsidP="00CB42FD">
      <w:pPr>
        <w:rPr>
          <w:lang w:val="en-GB" w:eastAsia="en-US"/>
        </w:rPr>
      </w:pPr>
      <w:r w:rsidRPr="00A8131A">
        <w:rPr>
          <w:lang w:val="en-GB" w:eastAsia="en-US"/>
        </w:rPr>
        <w:t>The final vulnerability score is calculated by adding the exposure and sensitivity scores, then subtracting the adaptive capacity score. Vulnerability is then categorised from Very High to Very Low depending on the final score</w:t>
      </w:r>
      <w:r>
        <w:rPr>
          <w:lang w:val="en-GB" w:eastAsia="en-US"/>
        </w:rPr>
        <w:t>.</w:t>
      </w:r>
    </w:p>
    <w:tbl>
      <w:tblPr>
        <w:tblW w:w="0" w:type="auto"/>
        <w:tblLook w:val="04A0" w:firstRow="1" w:lastRow="0" w:firstColumn="1" w:lastColumn="0" w:noHBand="0" w:noVBand="1"/>
      </w:tblPr>
      <w:tblGrid>
        <w:gridCol w:w="1550"/>
        <w:gridCol w:w="3118"/>
      </w:tblGrid>
      <w:tr w:rsidR="00CB42FD" w:rsidRPr="000F12AD" w14:paraId="7179213F" w14:textId="77777777" w:rsidTr="00904F74">
        <w:trPr>
          <w:trHeight w:val="300"/>
        </w:trPr>
        <w:tc>
          <w:tcPr>
            <w:tcW w:w="1550" w:type="dxa"/>
            <w:tcBorders>
              <w:top w:val="single" w:sz="8" w:space="0" w:color="47928D"/>
              <w:left w:val="single" w:sz="8" w:space="0" w:color="47928D"/>
              <w:bottom w:val="single" w:sz="8" w:space="0" w:color="47928D"/>
              <w:right w:val="nil"/>
            </w:tcBorders>
            <w:shd w:val="clear" w:color="000000" w:fill="47928D"/>
            <w:noWrap/>
            <w:vAlign w:val="center"/>
            <w:hideMark/>
          </w:tcPr>
          <w:p w14:paraId="07EEEADB" w14:textId="77777777" w:rsidR="00CB42FD" w:rsidRPr="00904F74" w:rsidRDefault="00CB42FD" w:rsidP="00904F74">
            <w:pPr>
              <w:spacing w:line="240" w:lineRule="auto"/>
              <w:rPr>
                <w:rFonts w:ascii="Aptos" w:eastAsia="Times New Roman" w:hAnsi="Aptos" w:cs="Times New Roman"/>
                <w:b/>
                <w:bCs/>
                <w:color w:val="FFFFFF"/>
                <w:lang w:val="en-GB" w:eastAsia="en-GB"/>
              </w:rPr>
            </w:pPr>
            <w:r w:rsidRPr="00904F74">
              <w:rPr>
                <w:rFonts w:ascii="Aptos" w:eastAsia="Times New Roman" w:hAnsi="Aptos" w:cs="Times New Roman"/>
                <w:b/>
                <w:bCs/>
                <w:color w:val="FFFFFF"/>
                <w:lang w:val="en-GB" w:eastAsia="en-GB"/>
              </w:rPr>
              <w:t>Score</w:t>
            </w:r>
          </w:p>
        </w:tc>
        <w:tc>
          <w:tcPr>
            <w:tcW w:w="3118" w:type="dxa"/>
            <w:tcBorders>
              <w:top w:val="single" w:sz="8" w:space="0" w:color="47928D"/>
              <w:left w:val="nil"/>
              <w:bottom w:val="single" w:sz="8" w:space="0" w:color="47928D"/>
              <w:right w:val="single" w:sz="8" w:space="0" w:color="47928D"/>
            </w:tcBorders>
            <w:shd w:val="clear" w:color="000000" w:fill="47928D"/>
            <w:noWrap/>
            <w:vAlign w:val="center"/>
            <w:hideMark/>
          </w:tcPr>
          <w:p w14:paraId="73B49305" w14:textId="77777777" w:rsidR="00CB42FD" w:rsidRPr="00904F74" w:rsidRDefault="00CB42FD" w:rsidP="00904F74">
            <w:pPr>
              <w:spacing w:line="240" w:lineRule="auto"/>
              <w:rPr>
                <w:rFonts w:ascii="Aptos" w:eastAsia="Times New Roman" w:hAnsi="Aptos" w:cs="Times New Roman"/>
                <w:b/>
                <w:bCs/>
                <w:color w:val="FFFFFF"/>
                <w:lang w:val="en-GB" w:eastAsia="en-GB"/>
              </w:rPr>
            </w:pPr>
            <w:r w:rsidRPr="00904F74">
              <w:rPr>
                <w:rFonts w:ascii="Aptos" w:eastAsia="Times New Roman" w:hAnsi="Aptos" w:cs="Times New Roman"/>
                <w:b/>
                <w:bCs/>
                <w:color w:val="FFFFFF"/>
                <w:lang w:val="en-GB" w:eastAsia="en-GB"/>
              </w:rPr>
              <w:t>Rating</w:t>
            </w:r>
          </w:p>
        </w:tc>
      </w:tr>
      <w:tr w:rsidR="00A52039" w:rsidRPr="000F12AD" w14:paraId="77C17ABC" w14:textId="77777777" w:rsidTr="00904F74">
        <w:trPr>
          <w:trHeight w:val="300"/>
        </w:trPr>
        <w:tc>
          <w:tcPr>
            <w:tcW w:w="1550" w:type="dxa"/>
            <w:tcBorders>
              <w:top w:val="nil"/>
              <w:left w:val="single" w:sz="8" w:space="0" w:color="49938D"/>
              <w:bottom w:val="single" w:sz="8" w:space="0" w:color="49938D"/>
              <w:right w:val="single" w:sz="8" w:space="0" w:color="49938D"/>
            </w:tcBorders>
            <w:shd w:val="clear" w:color="000000" w:fill="FF0000"/>
            <w:noWrap/>
            <w:vAlign w:val="center"/>
            <w:hideMark/>
          </w:tcPr>
          <w:p w14:paraId="4EFD6698" w14:textId="77777777" w:rsidR="00A52039" w:rsidRPr="00904F74" w:rsidRDefault="00A52039" w:rsidP="00904F74">
            <w:pPr>
              <w:spacing w:line="240" w:lineRule="auto"/>
              <w:jc w:val="center"/>
              <w:rPr>
                <w:rFonts w:ascii="Aptos" w:eastAsia="Times New Roman" w:hAnsi="Aptos" w:cs="Times New Roman"/>
                <w:b/>
                <w:bCs/>
                <w:color w:val="FFFFFF"/>
                <w:lang w:val="en-GB" w:eastAsia="en-GB"/>
              </w:rPr>
            </w:pPr>
            <w:r w:rsidRPr="00904F74">
              <w:rPr>
                <w:rFonts w:ascii="Aptos" w:eastAsia="Times New Roman" w:hAnsi="Aptos" w:cs="Times New Roman"/>
                <w:b/>
                <w:bCs/>
                <w:color w:val="FFFFFF"/>
                <w:lang w:val="en-GB" w:eastAsia="en-GB"/>
              </w:rPr>
              <w:t>Very High</w:t>
            </w:r>
          </w:p>
        </w:tc>
        <w:tc>
          <w:tcPr>
            <w:tcW w:w="3118" w:type="dxa"/>
            <w:tcBorders>
              <w:top w:val="nil"/>
              <w:left w:val="nil"/>
              <w:bottom w:val="single" w:sz="8" w:space="0" w:color="49938D"/>
              <w:right w:val="single" w:sz="8" w:space="0" w:color="49938D"/>
            </w:tcBorders>
            <w:noWrap/>
            <w:vAlign w:val="center"/>
            <w:hideMark/>
          </w:tcPr>
          <w:p w14:paraId="6A55C708" w14:textId="0B389E70" w:rsidR="00A52039" w:rsidRPr="00904F74" w:rsidRDefault="00A52039" w:rsidP="00904F74">
            <w:pPr>
              <w:spacing w:line="240" w:lineRule="auto"/>
              <w:rPr>
                <w:rFonts w:ascii="Aptos" w:eastAsia="Times New Roman" w:hAnsi="Aptos" w:cs="Times New Roman"/>
                <w:color w:val="000000"/>
                <w:lang w:val="en-GB" w:eastAsia="en-GB"/>
              </w:rPr>
            </w:pPr>
            <w:r w:rsidRPr="00904F74">
              <w:rPr>
                <w:rFonts w:ascii="Aptos" w:hAnsi="Aptos"/>
                <w:color w:val="000000"/>
              </w:rPr>
              <w:t>Total Score between 5 &amp; 6</w:t>
            </w:r>
          </w:p>
        </w:tc>
      </w:tr>
      <w:tr w:rsidR="00A52039" w:rsidRPr="000F12AD" w14:paraId="042758E6" w14:textId="77777777" w:rsidTr="00904F74">
        <w:trPr>
          <w:trHeight w:val="300"/>
        </w:trPr>
        <w:tc>
          <w:tcPr>
            <w:tcW w:w="1550" w:type="dxa"/>
            <w:tcBorders>
              <w:top w:val="nil"/>
              <w:left w:val="single" w:sz="8" w:space="0" w:color="49938D"/>
              <w:bottom w:val="single" w:sz="8" w:space="0" w:color="49938D"/>
              <w:right w:val="single" w:sz="8" w:space="0" w:color="49938D"/>
            </w:tcBorders>
            <w:shd w:val="clear" w:color="000000" w:fill="FF6600"/>
            <w:noWrap/>
            <w:vAlign w:val="center"/>
            <w:hideMark/>
          </w:tcPr>
          <w:p w14:paraId="548E6FAA" w14:textId="77777777" w:rsidR="00A52039" w:rsidRPr="00904F74" w:rsidRDefault="00A52039" w:rsidP="00904F74">
            <w:pPr>
              <w:spacing w:line="240" w:lineRule="auto"/>
              <w:jc w:val="center"/>
              <w:rPr>
                <w:rFonts w:ascii="Aptos" w:eastAsia="Times New Roman" w:hAnsi="Aptos" w:cs="Times New Roman"/>
                <w:b/>
                <w:bCs/>
                <w:color w:val="FFFFFF"/>
                <w:lang w:val="en-GB" w:eastAsia="en-GB"/>
              </w:rPr>
            </w:pPr>
            <w:r w:rsidRPr="00904F74">
              <w:rPr>
                <w:rFonts w:ascii="Aptos" w:eastAsia="Times New Roman" w:hAnsi="Aptos" w:cs="Times New Roman"/>
                <w:b/>
                <w:bCs/>
                <w:color w:val="FFFFFF"/>
                <w:lang w:val="en-GB" w:eastAsia="en-GB"/>
              </w:rPr>
              <w:t>High</w:t>
            </w:r>
          </w:p>
        </w:tc>
        <w:tc>
          <w:tcPr>
            <w:tcW w:w="3118" w:type="dxa"/>
            <w:tcBorders>
              <w:top w:val="nil"/>
              <w:left w:val="nil"/>
              <w:bottom w:val="single" w:sz="8" w:space="0" w:color="49938D"/>
              <w:right w:val="single" w:sz="8" w:space="0" w:color="49938D"/>
            </w:tcBorders>
            <w:noWrap/>
            <w:vAlign w:val="center"/>
            <w:hideMark/>
          </w:tcPr>
          <w:p w14:paraId="775E9FDA" w14:textId="52EF3B11" w:rsidR="00A52039" w:rsidRPr="00904F74" w:rsidRDefault="00A52039" w:rsidP="00904F74">
            <w:pPr>
              <w:spacing w:line="240" w:lineRule="auto"/>
              <w:rPr>
                <w:rFonts w:ascii="Aptos" w:eastAsia="Times New Roman" w:hAnsi="Aptos" w:cs="Times New Roman"/>
                <w:color w:val="000000"/>
                <w:lang w:val="en-GB" w:eastAsia="en-GB"/>
              </w:rPr>
            </w:pPr>
            <w:r w:rsidRPr="00904F74">
              <w:rPr>
                <w:rFonts w:ascii="Aptos" w:hAnsi="Aptos"/>
                <w:color w:val="000000"/>
              </w:rPr>
              <w:t>Total Score between 3 &amp; 4</w:t>
            </w:r>
          </w:p>
        </w:tc>
      </w:tr>
      <w:tr w:rsidR="00A52039" w:rsidRPr="000F12AD" w14:paraId="4CB6298C" w14:textId="77777777" w:rsidTr="00904F74">
        <w:trPr>
          <w:trHeight w:val="300"/>
        </w:trPr>
        <w:tc>
          <w:tcPr>
            <w:tcW w:w="1550" w:type="dxa"/>
            <w:tcBorders>
              <w:top w:val="nil"/>
              <w:left w:val="single" w:sz="8" w:space="0" w:color="49938D"/>
              <w:bottom w:val="single" w:sz="8" w:space="0" w:color="49938D"/>
              <w:right w:val="single" w:sz="8" w:space="0" w:color="49938D"/>
            </w:tcBorders>
            <w:shd w:val="clear" w:color="000000" w:fill="FFCC66"/>
            <w:noWrap/>
            <w:vAlign w:val="center"/>
            <w:hideMark/>
          </w:tcPr>
          <w:p w14:paraId="748A15D7" w14:textId="77777777" w:rsidR="00A52039" w:rsidRPr="00904F74" w:rsidRDefault="00A52039" w:rsidP="00904F74">
            <w:pPr>
              <w:spacing w:line="240" w:lineRule="auto"/>
              <w:jc w:val="center"/>
              <w:rPr>
                <w:rFonts w:ascii="Aptos" w:eastAsia="Times New Roman" w:hAnsi="Aptos" w:cs="Times New Roman"/>
                <w:b/>
                <w:bCs/>
                <w:color w:val="000000"/>
                <w:lang w:val="en-GB" w:eastAsia="en-GB"/>
              </w:rPr>
            </w:pPr>
            <w:r w:rsidRPr="00904F74">
              <w:rPr>
                <w:rFonts w:ascii="Aptos" w:eastAsia="Times New Roman" w:hAnsi="Aptos" w:cs="Times New Roman"/>
                <w:b/>
                <w:bCs/>
                <w:color w:val="000000"/>
                <w:lang w:val="en-GB" w:eastAsia="en-GB"/>
              </w:rPr>
              <w:t>Medium</w:t>
            </w:r>
          </w:p>
        </w:tc>
        <w:tc>
          <w:tcPr>
            <w:tcW w:w="3118" w:type="dxa"/>
            <w:tcBorders>
              <w:top w:val="nil"/>
              <w:left w:val="nil"/>
              <w:bottom w:val="single" w:sz="8" w:space="0" w:color="49938D"/>
              <w:right w:val="single" w:sz="8" w:space="0" w:color="49938D"/>
            </w:tcBorders>
            <w:noWrap/>
            <w:vAlign w:val="center"/>
            <w:hideMark/>
          </w:tcPr>
          <w:p w14:paraId="7074D256" w14:textId="7CA06FEE" w:rsidR="00A52039" w:rsidRPr="00904F74" w:rsidRDefault="00A52039" w:rsidP="00904F74">
            <w:pPr>
              <w:spacing w:line="240" w:lineRule="auto"/>
              <w:rPr>
                <w:rFonts w:ascii="Aptos" w:eastAsia="Times New Roman" w:hAnsi="Aptos" w:cs="Times New Roman"/>
                <w:color w:val="000000"/>
                <w:lang w:val="en-GB" w:eastAsia="en-GB"/>
              </w:rPr>
            </w:pPr>
            <w:r w:rsidRPr="00904F74">
              <w:rPr>
                <w:rFonts w:ascii="Aptos" w:hAnsi="Aptos"/>
                <w:color w:val="000000"/>
              </w:rPr>
              <w:t>Total Score between 1 &amp; 2</w:t>
            </w:r>
          </w:p>
        </w:tc>
      </w:tr>
      <w:tr w:rsidR="00A52039" w:rsidRPr="000F12AD" w14:paraId="38F94E2D" w14:textId="77777777" w:rsidTr="00904F74">
        <w:trPr>
          <w:trHeight w:val="300"/>
        </w:trPr>
        <w:tc>
          <w:tcPr>
            <w:tcW w:w="1550" w:type="dxa"/>
            <w:tcBorders>
              <w:top w:val="nil"/>
              <w:left w:val="single" w:sz="8" w:space="0" w:color="49938D"/>
              <w:bottom w:val="single" w:sz="8" w:space="0" w:color="49938D"/>
              <w:right w:val="single" w:sz="8" w:space="0" w:color="49938D"/>
            </w:tcBorders>
            <w:shd w:val="clear" w:color="000000" w:fill="92D050"/>
            <w:noWrap/>
            <w:vAlign w:val="center"/>
            <w:hideMark/>
          </w:tcPr>
          <w:p w14:paraId="0364C6E4" w14:textId="77777777" w:rsidR="00A52039" w:rsidRPr="00904F74" w:rsidRDefault="00A52039" w:rsidP="00904F74">
            <w:pPr>
              <w:spacing w:line="240" w:lineRule="auto"/>
              <w:jc w:val="center"/>
              <w:rPr>
                <w:rFonts w:ascii="Aptos" w:eastAsia="Times New Roman" w:hAnsi="Aptos" w:cs="Times New Roman"/>
                <w:b/>
                <w:bCs/>
                <w:color w:val="000000"/>
                <w:lang w:val="en-GB" w:eastAsia="en-GB"/>
              </w:rPr>
            </w:pPr>
            <w:r w:rsidRPr="00904F74">
              <w:rPr>
                <w:rFonts w:ascii="Aptos" w:eastAsia="Times New Roman" w:hAnsi="Aptos" w:cs="Times New Roman"/>
                <w:b/>
                <w:bCs/>
                <w:color w:val="000000"/>
                <w:lang w:val="en-GB" w:eastAsia="en-GB"/>
              </w:rPr>
              <w:t>Low</w:t>
            </w:r>
          </w:p>
        </w:tc>
        <w:tc>
          <w:tcPr>
            <w:tcW w:w="3118" w:type="dxa"/>
            <w:tcBorders>
              <w:top w:val="nil"/>
              <w:left w:val="nil"/>
              <w:bottom w:val="single" w:sz="8" w:space="0" w:color="49938D"/>
              <w:right w:val="single" w:sz="8" w:space="0" w:color="49938D"/>
            </w:tcBorders>
            <w:noWrap/>
            <w:vAlign w:val="center"/>
            <w:hideMark/>
          </w:tcPr>
          <w:p w14:paraId="4C2EC2F0" w14:textId="4F81D0F5" w:rsidR="00A52039" w:rsidRPr="00904F74" w:rsidRDefault="00A52039" w:rsidP="00904F74">
            <w:pPr>
              <w:spacing w:line="240" w:lineRule="auto"/>
              <w:rPr>
                <w:rFonts w:ascii="Aptos" w:eastAsia="Times New Roman" w:hAnsi="Aptos" w:cs="Times New Roman"/>
                <w:color w:val="000000"/>
                <w:lang w:val="en-GB" w:eastAsia="en-GB"/>
              </w:rPr>
            </w:pPr>
            <w:r w:rsidRPr="00904F74">
              <w:rPr>
                <w:rFonts w:ascii="Aptos" w:hAnsi="Aptos"/>
                <w:color w:val="000000"/>
              </w:rPr>
              <w:t>Total Score between -1 &amp; 0</w:t>
            </w:r>
          </w:p>
        </w:tc>
      </w:tr>
      <w:tr w:rsidR="00A52039" w:rsidRPr="000F12AD" w14:paraId="6AF35340" w14:textId="77777777" w:rsidTr="00904F74">
        <w:trPr>
          <w:trHeight w:val="300"/>
        </w:trPr>
        <w:tc>
          <w:tcPr>
            <w:tcW w:w="1550" w:type="dxa"/>
            <w:tcBorders>
              <w:top w:val="nil"/>
              <w:left w:val="single" w:sz="8" w:space="0" w:color="49938D"/>
              <w:bottom w:val="single" w:sz="8" w:space="0" w:color="49938D"/>
              <w:right w:val="single" w:sz="8" w:space="0" w:color="49938D"/>
            </w:tcBorders>
            <w:shd w:val="clear" w:color="000000" w:fill="DAF2D0"/>
            <w:noWrap/>
            <w:vAlign w:val="center"/>
            <w:hideMark/>
          </w:tcPr>
          <w:p w14:paraId="4F38D7C8" w14:textId="77777777" w:rsidR="00A52039" w:rsidRPr="00904F74" w:rsidRDefault="00A52039" w:rsidP="00904F74">
            <w:pPr>
              <w:spacing w:line="240" w:lineRule="auto"/>
              <w:jc w:val="center"/>
              <w:rPr>
                <w:rFonts w:ascii="Aptos" w:eastAsia="Times New Roman" w:hAnsi="Aptos" w:cs="Times New Roman"/>
                <w:b/>
                <w:bCs/>
                <w:color w:val="000000"/>
                <w:lang w:val="en-GB" w:eastAsia="en-GB"/>
              </w:rPr>
            </w:pPr>
            <w:r w:rsidRPr="00904F74">
              <w:rPr>
                <w:rFonts w:ascii="Aptos" w:eastAsia="Times New Roman" w:hAnsi="Aptos" w:cs="Times New Roman"/>
                <w:b/>
                <w:bCs/>
                <w:color w:val="000000"/>
                <w:lang w:val="en-GB" w:eastAsia="en-GB"/>
              </w:rPr>
              <w:t>Very Low</w:t>
            </w:r>
          </w:p>
        </w:tc>
        <w:tc>
          <w:tcPr>
            <w:tcW w:w="3118" w:type="dxa"/>
            <w:tcBorders>
              <w:top w:val="nil"/>
              <w:left w:val="nil"/>
              <w:bottom w:val="single" w:sz="8" w:space="0" w:color="49938D"/>
              <w:right w:val="single" w:sz="8" w:space="0" w:color="49938D"/>
            </w:tcBorders>
            <w:noWrap/>
            <w:vAlign w:val="center"/>
            <w:hideMark/>
          </w:tcPr>
          <w:p w14:paraId="52BAFFC7" w14:textId="49E87D34" w:rsidR="00A52039" w:rsidRPr="00904F74" w:rsidRDefault="00A52039" w:rsidP="00904F74">
            <w:pPr>
              <w:spacing w:line="240" w:lineRule="auto"/>
              <w:rPr>
                <w:rFonts w:ascii="Aptos" w:eastAsia="Times New Roman" w:hAnsi="Aptos" w:cs="Times New Roman"/>
                <w:color w:val="000000"/>
                <w:lang w:val="en-GB" w:eastAsia="en-GB"/>
              </w:rPr>
            </w:pPr>
            <w:r w:rsidRPr="00904F74">
              <w:rPr>
                <w:rFonts w:ascii="Aptos" w:hAnsi="Aptos"/>
                <w:color w:val="000000"/>
              </w:rPr>
              <w:t>Total Score between -3 &amp; -2</w:t>
            </w:r>
          </w:p>
        </w:tc>
      </w:tr>
    </w:tbl>
    <w:p w14:paraId="00317953" w14:textId="41E367AC" w:rsidR="00544ADD" w:rsidRPr="00E60DA8" w:rsidRDefault="00544ADD" w:rsidP="005304E5">
      <w:pPr>
        <w:rPr>
          <w:lang w:val="en-GB"/>
        </w:rPr>
      </w:pPr>
      <w:r w:rsidRPr="00544ADD">
        <w:rPr>
          <w:lang w:val="en-GB"/>
        </w:rPr>
        <w:tab/>
      </w:r>
    </w:p>
    <w:sectPr w:rsidR="00544ADD" w:rsidRPr="00E60DA8">
      <w:headerReference w:type="even" r:id="rId12"/>
      <w:headerReference w:type="default" r:id="rId13"/>
      <w:footerReference w:type="even" r:id="rId14"/>
      <w:footerReference w:type="default" r:id="rId15"/>
      <w:headerReference w:type="first" r:id="rId16"/>
      <w:footerReference w:type="first" r:id="rId1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CA6265" w14:textId="77777777" w:rsidR="00415F9C" w:rsidRDefault="00415F9C" w:rsidP="005B2702">
      <w:pPr>
        <w:spacing w:after="0" w:line="240" w:lineRule="auto"/>
      </w:pPr>
      <w:r>
        <w:separator/>
      </w:r>
    </w:p>
  </w:endnote>
  <w:endnote w:type="continuationSeparator" w:id="0">
    <w:p w14:paraId="25C6B326" w14:textId="77777777" w:rsidR="00415F9C" w:rsidRDefault="00415F9C" w:rsidP="005B27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0BE7BD" w14:textId="77777777" w:rsidR="00FC5F2B" w:rsidRDefault="00FC5F2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399CF0" w14:textId="3A8C39AD" w:rsidR="00CD3D95" w:rsidRDefault="00CD3D95">
    <w:pPr>
      <w:pStyle w:val="Footer"/>
    </w:pPr>
    <w:r>
      <w:rPr>
        <w:noProof/>
      </w:rPr>
      <w:drawing>
        <wp:anchor distT="0" distB="0" distL="114300" distR="114300" simplePos="0" relativeHeight="251658240" behindDoc="0" locked="0" layoutInCell="1" allowOverlap="1" wp14:anchorId="308D72C5" wp14:editId="38CF2D96">
          <wp:simplePos x="0" y="0"/>
          <wp:positionH relativeFrom="column">
            <wp:posOffset>-929640</wp:posOffset>
          </wp:positionH>
          <wp:positionV relativeFrom="page">
            <wp:posOffset>9974580</wp:posOffset>
          </wp:positionV>
          <wp:extent cx="7680960" cy="720090"/>
          <wp:effectExtent l="0" t="0" r="0" b="3810"/>
          <wp:wrapNone/>
          <wp:docPr id="2072008509" name="Picture 8" descr="0004-CAGC-CAG%20Word%20Document3.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descr="0004-CAGC-CAG%20Word%20Document3.jpg"/>
                  <pic:cNvPicPr>
                    <a:picLocks/>
                  </pic:cNvPicPr>
                </pic:nvPicPr>
                <pic:blipFill>
                  <a:blip r:embed="rId1">
                    <a:extLst>
                      <a:ext uri="{28A0092B-C50C-407E-A947-70E740481C1C}">
                        <a14:useLocalDpi xmlns:a14="http://schemas.microsoft.com/office/drawing/2010/main" val="0"/>
                      </a:ext>
                    </a:extLst>
                  </a:blip>
                  <a:srcRect t="93372"/>
                  <a:stretch>
                    <a:fillRect/>
                  </a:stretch>
                </pic:blipFill>
                <pic:spPr bwMode="auto">
                  <a:xfrm>
                    <a:off x="0" y="0"/>
                    <a:ext cx="7680960" cy="72009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D8E746" w14:textId="77777777" w:rsidR="00FC5F2B" w:rsidRDefault="00FC5F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C0AF5F" w14:textId="77777777" w:rsidR="00415F9C" w:rsidRDefault="00415F9C" w:rsidP="005B2702">
      <w:pPr>
        <w:spacing w:after="0" w:line="240" w:lineRule="auto"/>
      </w:pPr>
      <w:r>
        <w:separator/>
      </w:r>
    </w:p>
  </w:footnote>
  <w:footnote w:type="continuationSeparator" w:id="0">
    <w:p w14:paraId="32985710" w14:textId="77777777" w:rsidR="00415F9C" w:rsidRDefault="00415F9C" w:rsidP="005B2702">
      <w:pPr>
        <w:spacing w:after="0" w:line="240" w:lineRule="auto"/>
      </w:pPr>
      <w:r>
        <w:continuationSeparator/>
      </w:r>
    </w:p>
  </w:footnote>
  <w:footnote w:id="1">
    <w:p w14:paraId="04E05E0E" w14:textId="77777777" w:rsidR="00CA2666" w:rsidRPr="00C137AD" w:rsidRDefault="00CA2666" w:rsidP="00CA2666">
      <w:pPr>
        <w:pStyle w:val="FootnoteText"/>
        <w:rPr>
          <w:lang w:val="en-GB"/>
        </w:rPr>
      </w:pPr>
      <w:r>
        <w:rPr>
          <w:rStyle w:val="FootnoteReference"/>
        </w:rPr>
        <w:footnoteRef/>
      </w:r>
      <w:r>
        <w:t xml:space="preserve"> </w:t>
      </w:r>
      <w:r>
        <w:rPr>
          <w:lang w:val="en-GB"/>
        </w:rPr>
        <w:t xml:space="preserve">The detailed scoring matrix </w:t>
      </w:r>
      <w:r>
        <w:rPr>
          <w:lang w:val="en-GB" w:eastAsia="en-US"/>
        </w:rPr>
        <w:t xml:space="preserve">is provided in </w:t>
      </w:r>
      <w:r w:rsidRPr="008572D6">
        <w:rPr>
          <w:i/>
          <w:iCs/>
          <w:lang w:val="en-GB" w:eastAsia="en-US"/>
        </w:rPr>
        <w:fldChar w:fldCharType="begin"/>
      </w:r>
      <w:r w:rsidRPr="008572D6">
        <w:rPr>
          <w:i/>
          <w:iCs/>
          <w:lang w:val="en-GB" w:eastAsia="en-US"/>
        </w:rPr>
        <w:instrText xml:space="preserve"> REF _Ref240961110 \h </w:instrText>
      </w:r>
      <w:r>
        <w:rPr>
          <w:i/>
          <w:iCs/>
          <w:lang w:val="en-GB" w:eastAsia="en-US"/>
        </w:rPr>
        <w:instrText xml:space="preserve"> \* MERGEFORMAT </w:instrText>
      </w:r>
      <w:r w:rsidRPr="008572D6">
        <w:rPr>
          <w:i/>
          <w:iCs/>
          <w:lang w:val="en-GB" w:eastAsia="en-US"/>
        </w:rPr>
      </w:r>
      <w:r w:rsidRPr="008572D6">
        <w:rPr>
          <w:i/>
          <w:iCs/>
          <w:lang w:val="en-GB" w:eastAsia="en-US"/>
        </w:rPr>
        <w:fldChar w:fldCharType="separate"/>
      </w:r>
      <w:r w:rsidRPr="008572D6">
        <w:rPr>
          <w:i/>
          <w:iCs/>
        </w:rPr>
        <w:t>Annex: Scoring Matrix</w:t>
      </w:r>
      <w:r w:rsidRPr="008572D6">
        <w:rPr>
          <w:i/>
          <w:iCs/>
          <w:lang w:val="en-GB" w:eastAsia="en-US"/>
        </w:rPr>
        <w:fldChar w:fldCharType="end"/>
      </w:r>
      <w:r w:rsidRPr="00BB6B9A">
        <w:rPr>
          <w:lang w:val="en-GB" w:eastAsia="en-US"/>
        </w:rPr>
        <w:t>.</w:t>
      </w:r>
    </w:p>
  </w:footnote>
  <w:footnote w:id="2">
    <w:p w14:paraId="619DA255" w14:textId="77777777" w:rsidR="00611A4C" w:rsidRPr="00A43A10" w:rsidRDefault="00611A4C" w:rsidP="00611A4C">
      <w:pPr>
        <w:pStyle w:val="FootnoteText"/>
        <w:rPr>
          <w:lang w:val="en-GB"/>
        </w:rPr>
      </w:pPr>
      <w:r>
        <w:rPr>
          <w:rStyle w:val="FootnoteReference"/>
        </w:rPr>
        <w:footnoteRef/>
      </w:r>
      <w:r>
        <w:t xml:space="preserve"> </w:t>
      </w:r>
      <w:hyperlink r:id="rId1" w:anchor="section-26-6-2-4-risks-to-fuel-supply-systems-%e2%80%93-i4" w:history="1">
        <w:r>
          <w:rPr>
            <w:rStyle w:val="Hyperlink"/>
          </w:rPr>
          <w:t>Chapter 6: Infrastructure - UK Climate Risk</w:t>
        </w:r>
      </w:hyperlink>
    </w:p>
  </w:footnote>
  <w:footnote w:id="3">
    <w:p w14:paraId="42E16C8C" w14:textId="749A3CFA" w:rsidR="0053426A" w:rsidRPr="0053426A" w:rsidRDefault="0053426A">
      <w:pPr>
        <w:pStyle w:val="FootnoteText"/>
        <w:rPr>
          <w:lang w:val="en-GB"/>
        </w:rPr>
      </w:pPr>
      <w:r>
        <w:rPr>
          <w:rStyle w:val="FootnoteReference"/>
        </w:rPr>
        <w:footnoteRef/>
      </w:r>
      <w:r>
        <w:t xml:space="preserve"> </w:t>
      </w:r>
      <w:hyperlink r:id="rId2" w:history="1">
        <w:r w:rsidRPr="0053426A">
          <w:rPr>
            <w:rStyle w:val="Hyperlink"/>
          </w:rPr>
          <w:t>Climate Change Committee, A Well Adapted UK 2026</w:t>
        </w:r>
      </w:hyperlink>
    </w:p>
  </w:footnote>
  <w:footnote w:id="4">
    <w:p w14:paraId="2015A967" w14:textId="58241453" w:rsidR="004706BD" w:rsidRPr="004706BD" w:rsidRDefault="004706BD">
      <w:pPr>
        <w:pStyle w:val="FootnoteText"/>
        <w:rPr>
          <w:lang w:val="en-GB"/>
        </w:rPr>
      </w:pPr>
      <w:r>
        <w:rPr>
          <w:rStyle w:val="FootnoteReference"/>
        </w:rPr>
        <w:footnoteRef/>
      </w:r>
      <w:r>
        <w:t xml:space="preserve"> </w:t>
      </w:r>
      <w:hyperlink r:id="rId3" w:history="1">
        <w:r w:rsidRPr="004706BD">
          <w:rPr>
            <w:rStyle w:val="Hyperlink"/>
          </w:rPr>
          <w:t>Bradford Planning Application Documents</w:t>
        </w:r>
      </w:hyperlink>
    </w:p>
  </w:footnote>
  <w:footnote w:id="5">
    <w:p w14:paraId="3E9B2748" w14:textId="513EE130" w:rsidR="004706BD" w:rsidRPr="00B37023" w:rsidRDefault="004706BD" w:rsidP="004706BD">
      <w:pPr>
        <w:pStyle w:val="FootnoteText"/>
        <w:rPr>
          <w:lang w:val="en-GB"/>
        </w:rPr>
      </w:pPr>
      <w:r>
        <w:rPr>
          <w:rStyle w:val="FootnoteReference"/>
        </w:rPr>
        <w:footnoteRef/>
      </w:r>
      <w:r>
        <w:t xml:space="preserve"> </w:t>
      </w:r>
      <w:hyperlink r:id="rId4" w:history="1">
        <w:r w:rsidRPr="00B37023">
          <w:rPr>
            <w:rStyle w:val="Hyperlink"/>
          </w:rPr>
          <w:t>West Yorkshire Climate and Environment Plan 202</w:t>
        </w:r>
        <w:r>
          <w:rPr>
            <w:rStyle w:val="Hyperlink"/>
          </w:rPr>
          <w:t>5</w:t>
        </w:r>
        <w:r w:rsidRPr="00B37023">
          <w:rPr>
            <w:rStyle w:val="Hyperlink"/>
          </w:rPr>
          <w:t>-20</w:t>
        </w:r>
        <w:r>
          <w:rPr>
            <w:rStyle w:val="Hyperlink"/>
          </w:rPr>
          <w:t>3</w:t>
        </w:r>
        <w:r w:rsidRPr="00B37023">
          <w:rPr>
            <w:rStyle w:val="Hyperlink"/>
          </w:rPr>
          <w:t>8</w:t>
        </w:r>
      </w:hyperlink>
    </w:p>
  </w:footnote>
  <w:footnote w:id="6">
    <w:p w14:paraId="7231D0EA" w14:textId="77777777" w:rsidR="004358A1" w:rsidRDefault="004358A1" w:rsidP="004358A1">
      <w:pPr>
        <w:pStyle w:val="FootnoteText"/>
      </w:pPr>
      <w:r>
        <w:rPr>
          <w:rStyle w:val="FootnoteReference"/>
        </w:rPr>
        <w:footnoteRef/>
      </w:r>
      <w:r>
        <w:t xml:space="preserve"> </w:t>
      </w:r>
      <w:hyperlink r:id="rId5" w:history="1">
        <w:r>
          <w:rPr>
            <w:rStyle w:val="Hyperlink"/>
          </w:rPr>
          <w:t>Local Authority Climate Report | West Yorkshire</w:t>
        </w:r>
      </w:hyperlink>
    </w:p>
  </w:footnote>
  <w:footnote w:id="7">
    <w:p w14:paraId="740CC9D0" w14:textId="77777777" w:rsidR="00E16252" w:rsidRPr="00D3029D" w:rsidRDefault="00E16252" w:rsidP="00E16252">
      <w:pPr>
        <w:pStyle w:val="FootnoteText"/>
      </w:pPr>
      <w:r w:rsidRPr="00D3029D">
        <w:rPr>
          <w:rStyle w:val="FootnoteReference"/>
        </w:rPr>
        <w:footnoteRef/>
      </w:r>
      <w:r w:rsidRPr="00D3029D">
        <w:t xml:space="preserve"> </w:t>
      </w:r>
      <w:hyperlink r:id="rId6" w:history="1">
        <w:r w:rsidRPr="00D3029D">
          <w:rPr>
            <w:rStyle w:val="Hyperlink"/>
          </w:rPr>
          <w:t>Calderdale Flood Risk &amp; Drainage SPD, 2024</w:t>
        </w:r>
      </w:hyperlink>
      <w:r w:rsidRPr="00D3029D">
        <w:t xml:space="preserve">  </w:t>
      </w:r>
    </w:p>
  </w:footnote>
  <w:footnote w:id="8">
    <w:p w14:paraId="29A73663" w14:textId="77777777" w:rsidR="00E16252" w:rsidRPr="00D3029D" w:rsidRDefault="00E16252" w:rsidP="00E16252">
      <w:pPr>
        <w:pStyle w:val="FootnoteText"/>
      </w:pPr>
      <w:r w:rsidRPr="00D3029D">
        <w:rPr>
          <w:rStyle w:val="FootnoteReference"/>
        </w:rPr>
        <w:footnoteRef/>
      </w:r>
      <w:r w:rsidRPr="00D3029D">
        <w:t xml:space="preserve"> </w:t>
      </w:r>
      <w:hyperlink r:id="rId7" w:history="1">
        <w:r w:rsidRPr="00D3029D">
          <w:rPr>
            <w:rStyle w:val="Hyperlink"/>
          </w:rPr>
          <w:t>Leeds Local Flood Risk Management Strategy, n.d.</w:t>
        </w:r>
      </w:hyperlink>
      <w:r w:rsidRPr="00D3029D">
        <w:t xml:space="preserve"> </w:t>
      </w:r>
    </w:p>
  </w:footnote>
  <w:footnote w:id="9">
    <w:p w14:paraId="2AB91C82" w14:textId="227FEDA5" w:rsidR="00D25175" w:rsidRPr="00D25175" w:rsidRDefault="00D25175">
      <w:pPr>
        <w:pStyle w:val="FootnoteText"/>
        <w:rPr>
          <w:lang w:val="en-GB"/>
        </w:rPr>
      </w:pPr>
      <w:r>
        <w:rPr>
          <w:rStyle w:val="FootnoteReference"/>
        </w:rPr>
        <w:footnoteRef/>
      </w:r>
      <w:r>
        <w:t xml:space="preserve"> </w:t>
      </w:r>
      <w:hyperlink r:id="rId8" w:history="1">
        <w:r w:rsidRPr="00D25175">
          <w:rPr>
            <w:rStyle w:val="Hyperlink"/>
          </w:rPr>
          <w:t>Strategic flood risk assessment 2016 - Wakefield Council</w:t>
        </w:r>
      </w:hyperlink>
    </w:p>
  </w:footnote>
  <w:footnote w:id="10">
    <w:p w14:paraId="4495097F" w14:textId="59B7F693" w:rsidR="009E1FD8" w:rsidRPr="009E1FD8" w:rsidRDefault="009E1FD8">
      <w:pPr>
        <w:pStyle w:val="FootnoteText"/>
        <w:rPr>
          <w:lang w:val="en-GB"/>
        </w:rPr>
      </w:pPr>
      <w:r>
        <w:rPr>
          <w:rStyle w:val="FootnoteReference"/>
        </w:rPr>
        <w:footnoteRef/>
      </w:r>
      <w:r>
        <w:t xml:space="preserve"> </w:t>
      </w:r>
      <w:hyperlink r:id="rId9" w:history="1">
        <w:r>
          <w:rPr>
            <w:rStyle w:val="Hyperlink"/>
          </w:rPr>
          <w:t>Bradford A</w:t>
        </w:r>
        <w:r w:rsidRPr="009E1FD8">
          <w:rPr>
            <w:rStyle w:val="Hyperlink"/>
          </w:rPr>
          <w:t>ppendix A Policy and Flood Risk</w:t>
        </w:r>
      </w:hyperlink>
    </w:p>
  </w:footnote>
  <w:footnote w:id="11">
    <w:p w14:paraId="7274E554" w14:textId="62D91F45" w:rsidR="009E1FD8" w:rsidRPr="009E1FD8" w:rsidRDefault="009E1FD8">
      <w:pPr>
        <w:pStyle w:val="FootnoteText"/>
        <w:rPr>
          <w:lang w:val="en-GB"/>
        </w:rPr>
      </w:pPr>
      <w:r>
        <w:rPr>
          <w:rStyle w:val="FootnoteReference"/>
        </w:rPr>
        <w:footnoteRef/>
      </w:r>
      <w:r>
        <w:t xml:space="preserve"> </w:t>
      </w:r>
      <w:hyperlink r:id="rId10" w:history="1">
        <w:r w:rsidRPr="009E1FD8">
          <w:rPr>
            <w:rStyle w:val="Hyperlink"/>
          </w:rPr>
          <w:t xml:space="preserve">Kirklees local flood risk management full </w:t>
        </w:r>
        <w:r w:rsidR="004706BD" w:rsidRPr="009E1FD8">
          <w:rPr>
            <w:rStyle w:val="Hyperlink"/>
          </w:rPr>
          <w:t>strateg</w:t>
        </w:r>
        <w:r w:rsidR="004706BD">
          <w:rPr>
            <w:rStyle w:val="Hyperlink"/>
          </w:rPr>
          <w:t>y</w:t>
        </w:r>
        <w:r>
          <w:rPr>
            <w:rStyle w:val="Hyperlink"/>
          </w:rPr>
          <w:t xml:space="preserve"> 2024</w:t>
        </w:r>
      </w:hyperlink>
    </w:p>
  </w:footnote>
  <w:footnote w:id="12">
    <w:p w14:paraId="43118AAB" w14:textId="2F270107" w:rsidR="00400A94" w:rsidRPr="00400A94" w:rsidRDefault="00400A94">
      <w:pPr>
        <w:pStyle w:val="FootnoteText"/>
        <w:rPr>
          <w:lang w:val="en-GB"/>
        </w:rPr>
      </w:pPr>
      <w:r>
        <w:rPr>
          <w:rStyle w:val="FootnoteReference"/>
        </w:rPr>
        <w:footnoteRef/>
      </w:r>
      <w:r>
        <w:t xml:space="preserve"> </w:t>
      </w:r>
      <w:r>
        <w:rPr>
          <w:lang w:val="en-GB"/>
        </w:rPr>
        <w:t xml:space="preserve">Key stakeholder interview, </w:t>
      </w:r>
      <w:r w:rsidR="00E719C3">
        <w:rPr>
          <w:lang w:val="en-GB"/>
        </w:rPr>
        <w:t>26</w:t>
      </w:r>
      <w:r>
        <w:rPr>
          <w:lang w:val="en-GB"/>
        </w:rPr>
        <w:t xml:space="preserve"> August 2026, </w:t>
      </w:r>
      <w:r w:rsidRPr="00DC70D0">
        <w:rPr>
          <w:lang w:val="en-GB"/>
        </w:rPr>
        <w:t>facilitated for the West Yorkshire Climate Risk Assessment</w:t>
      </w:r>
    </w:p>
  </w:footnote>
  <w:footnote w:id="13">
    <w:p w14:paraId="65150BE9" w14:textId="72AEF923" w:rsidR="00860E5B" w:rsidRPr="00860E5B" w:rsidRDefault="00860E5B">
      <w:pPr>
        <w:pStyle w:val="FootnoteText"/>
        <w:rPr>
          <w:lang w:val="en-GB"/>
        </w:rPr>
      </w:pPr>
      <w:r>
        <w:rPr>
          <w:rStyle w:val="FootnoteReference"/>
        </w:rPr>
        <w:footnoteRef/>
      </w:r>
      <w:r>
        <w:t xml:space="preserve"> NHS Yorkshire Ambulance Service, </w:t>
      </w:r>
      <w:r w:rsidRPr="00860E5B">
        <w:t xml:space="preserve">Climate Adaptation </w:t>
      </w:r>
      <w:proofErr w:type="spellStart"/>
      <w:r w:rsidRPr="00860E5B">
        <w:t>Plan_YAS</w:t>
      </w:r>
      <w:proofErr w:type="spellEnd"/>
      <w:r>
        <w:t xml:space="preserve">, </w:t>
      </w:r>
      <w:r w:rsidRPr="00860E5B">
        <w:t>2024-2029</w:t>
      </w:r>
    </w:p>
  </w:footnote>
  <w:footnote w:id="14">
    <w:p w14:paraId="1E3DFB6A" w14:textId="77777777" w:rsidR="00D44C79" w:rsidRPr="008835D7" w:rsidRDefault="00D44C79" w:rsidP="00D44C79">
      <w:pPr>
        <w:pStyle w:val="FootnoteText"/>
        <w:rPr>
          <w:lang w:val="en-GB"/>
        </w:rPr>
      </w:pPr>
      <w:r>
        <w:rPr>
          <w:rStyle w:val="FootnoteReference"/>
        </w:rPr>
        <w:footnoteRef/>
      </w:r>
      <w:r>
        <w:t xml:space="preserve"> </w:t>
      </w:r>
      <w:hyperlink r:id="rId11" w:history="1">
        <w:r w:rsidRPr="008835D7">
          <w:rPr>
            <w:rStyle w:val="Hyperlink"/>
          </w:rPr>
          <w:t>NGN-CCAR-Round-4-Report</w:t>
        </w:r>
        <w:r>
          <w:rPr>
            <w:rStyle w:val="Hyperlink"/>
          </w:rPr>
          <w:t xml:space="preserve"> 2024</w:t>
        </w:r>
      </w:hyperlink>
    </w:p>
  </w:footnote>
  <w:footnote w:id="15">
    <w:p w14:paraId="1E548731" w14:textId="2F5E8C80" w:rsidR="003B301A" w:rsidRPr="003B301A" w:rsidRDefault="003B301A">
      <w:pPr>
        <w:pStyle w:val="FootnoteText"/>
        <w:rPr>
          <w:lang w:val="en-GB"/>
        </w:rPr>
      </w:pPr>
      <w:r>
        <w:rPr>
          <w:rStyle w:val="FootnoteReference"/>
        </w:rPr>
        <w:footnoteRef/>
      </w:r>
      <w:r>
        <w:t xml:space="preserve"> </w:t>
      </w:r>
      <w:hyperlink r:id="rId12" w:history="1">
        <w:r w:rsidRPr="003B301A">
          <w:rPr>
            <w:rStyle w:val="Hyperlink"/>
          </w:rPr>
          <w:t>Calderdale Transport Strateg</w:t>
        </w:r>
        <w:r>
          <w:rPr>
            <w:rStyle w:val="Hyperlink"/>
          </w:rPr>
          <w:t>y 2016</w:t>
        </w:r>
      </w:hyperlink>
    </w:p>
  </w:footnote>
  <w:footnote w:id="16">
    <w:p w14:paraId="46D6AFCD" w14:textId="04B6C313" w:rsidR="00DB490D" w:rsidRPr="00DB490D" w:rsidRDefault="00DB490D">
      <w:pPr>
        <w:pStyle w:val="FootnoteText"/>
        <w:rPr>
          <w:lang w:val="en-GB"/>
        </w:rPr>
      </w:pPr>
      <w:r>
        <w:rPr>
          <w:rStyle w:val="FootnoteReference"/>
        </w:rPr>
        <w:footnoteRef/>
      </w:r>
      <w:r>
        <w:t xml:space="preserve"> </w:t>
      </w:r>
      <w:hyperlink r:id="rId13" w:history="1">
        <w:r w:rsidRPr="00DB490D">
          <w:rPr>
            <w:rStyle w:val="Hyperlink"/>
          </w:rPr>
          <w:t>Hydrogen transport and storage networks pathway - GOV.U</w:t>
        </w:r>
        <w:r>
          <w:rPr>
            <w:rStyle w:val="Hyperlink"/>
          </w:rPr>
          <w:t>K 2023</w:t>
        </w:r>
      </w:hyperlink>
    </w:p>
  </w:footnote>
  <w:footnote w:id="17">
    <w:p w14:paraId="2813D30E" w14:textId="66610B79" w:rsidR="009A121B" w:rsidRPr="009A121B" w:rsidRDefault="009A121B">
      <w:pPr>
        <w:pStyle w:val="FootnoteText"/>
        <w:rPr>
          <w:lang w:val="en-GB"/>
        </w:rPr>
      </w:pPr>
      <w:r>
        <w:rPr>
          <w:rStyle w:val="FootnoteReference"/>
        </w:rPr>
        <w:footnoteRef/>
      </w:r>
      <w:r>
        <w:t xml:space="preserve"> </w:t>
      </w:r>
      <w:hyperlink r:id="rId14" w:history="1">
        <w:r>
          <w:rPr>
            <w:rStyle w:val="Hyperlink"/>
          </w:rPr>
          <w:t>Ofgem C</w:t>
        </w:r>
        <w:r w:rsidRPr="009A121B">
          <w:rPr>
            <w:rStyle w:val="Hyperlink"/>
          </w:rPr>
          <w:t>limate resilience report – fourth round climate adaptation reportin</w:t>
        </w:r>
        <w:r>
          <w:rPr>
            <w:rStyle w:val="Hyperlink"/>
          </w:rPr>
          <w:t>g 2025</w:t>
        </w:r>
      </w:hyperlink>
    </w:p>
  </w:footnote>
  <w:footnote w:id="18">
    <w:p w14:paraId="3298F93A" w14:textId="17DD814B" w:rsidR="00023F80" w:rsidRPr="00023F80" w:rsidRDefault="00023F80">
      <w:pPr>
        <w:pStyle w:val="FootnoteText"/>
        <w:rPr>
          <w:lang w:val="en-GB"/>
        </w:rPr>
      </w:pPr>
      <w:r>
        <w:rPr>
          <w:rStyle w:val="FootnoteReference"/>
        </w:rPr>
        <w:footnoteRef/>
      </w:r>
      <w:r>
        <w:t xml:space="preserve"> </w:t>
      </w:r>
      <w:hyperlink r:id="rId15" w:history="1">
        <w:r w:rsidRPr="00023F80">
          <w:rPr>
            <w:rStyle w:val="Hyperlink"/>
          </w:rPr>
          <w:t>National Emergency Plan for Fuel: summary of response tools - GOV.UK</w:t>
        </w:r>
      </w:hyperlink>
    </w:p>
  </w:footnote>
  <w:footnote w:id="19">
    <w:p w14:paraId="6647AE9C" w14:textId="74CEB332" w:rsidR="00211D8C" w:rsidRPr="00211D8C" w:rsidRDefault="00211D8C">
      <w:pPr>
        <w:pStyle w:val="FootnoteText"/>
        <w:rPr>
          <w:lang w:val="en-GB"/>
        </w:rPr>
      </w:pPr>
      <w:r>
        <w:rPr>
          <w:rStyle w:val="FootnoteReference"/>
        </w:rPr>
        <w:footnoteRef/>
      </w:r>
      <w:r>
        <w:t xml:space="preserve"> </w:t>
      </w:r>
      <w:hyperlink r:id="rId16" w:history="1">
        <w:r w:rsidRPr="00211D8C">
          <w:rPr>
            <w:rStyle w:val="Hyperlink"/>
          </w:rPr>
          <w:t>Fuel supply – response from West Yorkshire frontline services – West Yorkshire Prepare</w:t>
        </w:r>
        <w:r>
          <w:rPr>
            <w:rStyle w:val="Hyperlink"/>
          </w:rPr>
          <w:t>d 2021</w:t>
        </w:r>
      </w:hyperlink>
    </w:p>
  </w:footnote>
  <w:footnote w:id="20">
    <w:p w14:paraId="58116BB9" w14:textId="33D8C069" w:rsidR="00211D8C" w:rsidRPr="00211D8C" w:rsidRDefault="00211D8C">
      <w:pPr>
        <w:pStyle w:val="FootnoteText"/>
        <w:rPr>
          <w:lang w:val="en-GB"/>
        </w:rPr>
      </w:pPr>
      <w:r>
        <w:rPr>
          <w:rStyle w:val="FootnoteReference"/>
        </w:rPr>
        <w:footnoteRef/>
      </w:r>
      <w:r>
        <w:t xml:space="preserve"> </w:t>
      </w:r>
      <w:hyperlink r:id="rId17" w:history="1">
        <w:r>
          <w:rPr>
            <w:rStyle w:val="Hyperlink"/>
          </w:rPr>
          <w:t>West Yorkshire Prepared C</w:t>
        </w:r>
        <w:r w:rsidRPr="00211D8C">
          <w:rPr>
            <w:rStyle w:val="Hyperlink"/>
          </w:rPr>
          <w:t>ommunity-Risk-Register</w:t>
        </w:r>
        <w:r>
          <w:rPr>
            <w:rStyle w:val="Hyperlink"/>
          </w:rPr>
          <w:t xml:space="preserve"> 2025</w:t>
        </w:r>
      </w:hyperlink>
    </w:p>
  </w:footnote>
  <w:footnote w:id="21">
    <w:p w14:paraId="5F9BA7D2" w14:textId="7F0731B7" w:rsidR="004706BD" w:rsidRPr="004706BD" w:rsidRDefault="004706BD">
      <w:pPr>
        <w:pStyle w:val="FootnoteText"/>
        <w:rPr>
          <w:lang w:val="en-GB"/>
        </w:rPr>
      </w:pPr>
      <w:r>
        <w:rPr>
          <w:rStyle w:val="FootnoteReference"/>
        </w:rPr>
        <w:footnoteRef/>
      </w:r>
      <w:r>
        <w:t xml:space="preserve"> </w:t>
      </w:r>
      <w:hyperlink r:id="rId18" w:history="1">
        <w:r w:rsidRPr="004706BD">
          <w:rPr>
            <w:rStyle w:val="Hyperlink"/>
          </w:rPr>
          <w:t>Business continuity management for fuel shortages - GOV.UK</w:t>
        </w:r>
      </w:hyperlink>
    </w:p>
  </w:footnote>
  <w:footnote w:id="22">
    <w:p w14:paraId="1845B565" w14:textId="0F3A209E" w:rsidR="008972DA" w:rsidRPr="00D50F84" w:rsidRDefault="008972DA">
      <w:pPr>
        <w:pStyle w:val="FootnoteText"/>
        <w:rPr>
          <w:lang w:val="en-GB"/>
        </w:rPr>
      </w:pPr>
      <w:r>
        <w:rPr>
          <w:rStyle w:val="FootnoteReference"/>
        </w:rPr>
        <w:footnoteRef/>
      </w:r>
      <w:r>
        <w:t xml:space="preserve"> </w:t>
      </w:r>
      <w:r>
        <w:rPr>
          <w:lang w:val="en-GB"/>
        </w:rPr>
        <w:t>It should be noted that this</w:t>
      </w:r>
      <w:r w:rsidRPr="004706BD">
        <w:rPr>
          <w:lang w:val="en-GB"/>
        </w:rPr>
        <w:t xml:space="preserve"> guidance is generic and was published in 2011</w:t>
      </w:r>
      <w:r>
        <w:rPr>
          <w:lang w:val="en-GB"/>
        </w:rPr>
        <w:t xml:space="preserve"> and </w:t>
      </w:r>
      <w:r w:rsidRPr="004706BD">
        <w:rPr>
          <w:lang w:val="en-GB"/>
        </w:rPr>
        <w:t xml:space="preserve">it </w:t>
      </w:r>
      <w:r>
        <w:rPr>
          <w:lang w:val="en-GB"/>
        </w:rPr>
        <w:t xml:space="preserve">may </w:t>
      </w:r>
      <w:r w:rsidRPr="004706BD">
        <w:rPr>
          <w:lang w:val="en-GB"/>
        </w:rPr>
        <w:t>not demonstrate the current preparedness of fuel-dependent organisations in West Yorkshire</w:t>
      </w:r>
    </w:p>
  </w:footnote>
  <w:footnote w:id="23">
    <w:p w14:paraId="3AE62AD5" w14:textId="080F256C" w:rsidR="0075326F" w:rsidRPr="0075326F" w:rsidRDefault="0075326F">
      <w:pPr>
        <w:pStyle w:val="FootnoteText"/>
        <w:rPr>
          <w:lang w:val="en-GB"/>
        </w:rPr>
      </w:pPr>
      <w:r>
        <w:rPr>
          <w:rStyle w:val="FootnoteReference"/>
        </w:rPr>
        <w:footnoteRef/>
      </w:r>
      <w:r>
        <w:t xml:space="preserve"> </w:t>
      </w:r>
      <w:hyperlink r:id="rId19" w:history="1">
        <w:r w:rsidRPr="0075326F">
          <w:rPr>
            <w:rStyle w:val="Hyperlink"/>
          </w:rPr>
          <w:t>West Yorkshire Climate and Environment Plan 2025-38</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08970" w14:textId="77777777" w:rsidR="00FC5F2B" w:rsidRDefault="00FC5F2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284604" w14:textId="3EB327A5" w:rsidR="004C7B60" w:rsidRPr="00904F74" w:rsidRDefault="00670539" w:rsidP="00904F74">
    <w:pPr>
      <w:pStyle w:val="Subtitle"/>
      <w:numPr>
        <w:ilvl w:val="0"/>
        <w:numId w:val="0"/>
      </w:numPr>
      <w:spacing w:before="240" w:after="0" w:line="259" w:lineRule="auto"/>
      <w:rPr>
        <w:b/>
        <w:color w:val="595959" w:themeColor="text1" w:themeTint="A6"/>
        <w:kern w:val="2"/>
        <w:lang w:val="en-GB" w:eastAsia="en-US"/>
        <w14:ligatures w14:val="standardContextual"/>
      </w:rPr>
    </w:pPr>
    <w:sdt>
      <w:sdtPr>
        <w:rPr>
          <w:b/>
          <w:color w:val="595959" w:themeColor="text1" w:themeTint="A6"/>
          <w:kern w:val="2"/>
          <w:lang w:val="en-GB" w:eastAsia="en-US"/>
          <w14:ligatures w14:val="standardContextual"/>
        </w:rPr>
        <w:id w:val="-1657908040"/>
        <w:docPartObj>
          <w:docPartGallery w:val="Watermarks"/>
          <w:docPartUnique/>
        </w:docPartObj>
      </w:sdtPr>
      <w:sdtContent>
        <w:r w:rsidRPr="00670539">
          <w:rPr>
            <w:b/>
            <w:noProof/>
            <w:color w:val="595959" w:themeColor="text1" w:themeTint="A6"/>
            <w:kern w:val="2"/>
            <w:lang w:val="en-GB" w:eastAsia="en-US"/>
            <w14:ligatures w14:val="standardContextual"/>
          </w:rPr>
          <w:pict w14:anchorId="0B247D4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476642" o:spid="_x0000_s1025" type="#_x0000_t136" style="position:absolute;margin-left:0;margin-top:0;width:527.85pt;height:131.95pt;rotation:315;z-index:-251656192;mso-position-horizontal:center;mso-position-horizontal-relative:margin;mso-position-vertical:center;mso-position-vertical-relative:margin" o:allowincell="f" fillcolor="silver" stroked="f">
              <v:fill opacity=".5"/>
              <v:textpath style="font-family:&quot;Calibri&quot;;font-size:1pt" string="CONFIDENTIAL"/>
              <w10:wrap anchorx="margin" anchory="margin"/>
            </v:shape>
          </w:pict>
        </w:r>
      </w:sdtContent>
    </w:sdt>
    <w:r w:rsidR="004C7B60" w:rsidRPr="00904F74">
      <w:rPr>
        <w:b/>
        <w:color w:val="595959" w:themeColor="text1" w:themeTint="A6"/>
        <w:kern w:val="2"/>
        <w:lang w:val="en-GB" w:eastAsia="en-US"/>
        <w14:ligatures w14:val="standardContextual"/>
      </w:rPr>
      <w:t>West Yorkshire Climate Risk Assessment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86F477" w14:textId="77777777" w:rsidR="00FC5F2B" w:rsidRDefault="00FC5F2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33521"/>
    <w:multiLevelType w:val="hybridMultilevel"/>
    <w:tmpl w:val="FD5094E2"/>
    <w:lvl w:ilvl="0" w:tplc="081A3024">
      <w:start w:val="1"/>
      <w:numFmt w:val="bullet"/>
      <w:lvlText w:val=""/>
      <w:lvlJc w:val="left"/>
      <w:pPr>
        <w:ind w:left="720" w:hanging="360"/>
      </w:pPr>
      <w:rPr>
        <w:rFonts w:ascii="Symbol" w:eastAsia="Symbol" w:hAnsi="Symbol" w:cs="Symbol"/>
      </w:rPr>
    </w:lvl>
    <w:lvl w:ilvl="1" w:tplc="34061A32">
      <w:start w:val="1"/>
      <w:numFmt w:val="bullet"/>
      <w:lvlText w:val="o"/>
      <w:lvlJc w:val="left"/>
      <w:pPr>
        <w:ind w:left="1440" w:hanging="360"/>
      </w:pPr>
      <w:rPr>
        <w:rFonts w:ascii="Courier New" w:eastAsia="Courier New" w:hAnsi="Courier New" w:cs="Courier New"/>
      </w:rPr>
    </w:lvl>
    <w:lvl w:ilvl="2" w:tplc="3B78BE2E">
      <w:start w:val="1"/>
      <w:numFmt w:val="bullet"/>
      <w:lvlText w:val=""/>
      <w:lvlJc w:val="left"/>
      <w:pPr>
        <w:ind w:left="2160" w:hanging="360"/>
      </w:pPr>
      <w:rPr>
        <w:rFonts w:ascii="Wingdings" w:eastAsia="Wingdings" w:hAnsi="Wingdings" w:cs="Wingdings"/>
      </w:rPr>
    </w:lvl>
    <w:lvl w:ilvl="3" w:tplc="751064BC">
      <w:start w:val="1"/>
      <w:numFmt w:val="bullet"/>
      <w:lvlText w:val=""/>
      <w:lvlJc w:val="left"/>
      <w:pPr>
        <w:ind w:left="2880" w:hanging="360"/>
      </w:pPr>
      <w:rPr>
        <w:rFonts w:ascii="Symbol" w:eastAsia="Symbol" w:hAnsi="Symbol" w:cs="Symbol"/>
      </w:rPr>
    </w:lvl>
    <w:lvl w:ilvl="4" w:tplc="0BD66C80">
      <w:start w:val="1"/>
      <w:numFmt w:val="bullet"/>
      <w:lvlText w:val="o"/>
      <w:lvlJc w:val="left"/>
      <w:pPr>
        <w:ind w:left="3600" w:hanging="360"/>
      </w:pPr>
      <w:rPr>
        <w:rFonts w:ascii="Courier New" w:eastAsia="Courier New" w:hAnsi="Courier New" w:cs="Courier New"/>
      </w:rPr>
    </w:lvl>
    <w:lvl w:ilvl="5" w:tplc="02DE6CBE">
      <w:start w:val="1"/>
      <w:numFmt w:val="bullet"/>
      <w:lvlText w:val=""/>
      <w:lvlJc w:val="left"/>
      <w:pPr>
        <w:ind w:left="4320" w:hanging="360"/>
      </w:pPr>
      <w:rPr>
        <w:rFonts w:ascii="Wingdings" w:eastAsia="Wingdings" w:hAnsi="Wingdings" w:cs="Wingdings"/>
      </w:rPr>
    </w:lvl>
    <w:lvl w:ilvl="6" w:tplc="141AA156">
      <w:start w:val="1"/>
      <w:numFmt w:val="bullet"/>
      <w:lvlText w:val=""/>
      <w:lvlJc w:val="left"/>
      <w:pPr>
        <w:ind w:left="5040" w:hanging="360"/>
      </w:pPr>
      <w:rPr>
        <w:rFonts w:ascii="Symbol" w:eastAsia="Symbol" w:hAnsi="Symbol" w:cs="Symbol"/>
      </w:rPr>
    </w:lvl>
    <w:lvl w:ilvl="7" w:tplc="D62E5146">
      <w:start w:val="1"/>
      <w:numFmt w:val="bullet"/>
      <w:lvlText w:val="o"/>
      <w:lvlJc w:val="left"/>
      <w:pPr>
        <w:ind w:left="5760" w:hanging="360"/>
      </w:pPr>
      <w:rPr>
        <w:rFonts w:ascii="Courier New" w:eastAsia="Courier New" w:hAnsi="Courier New" w:cs="Courier New"/>
      </w:rPr>
    </w:lvl>
    <w:lvl w:ilvl="8" w:tplc="40C6499E">
      <w:start w:val="1"/>
      <w:numFmt w:val="bullet"/>
      <w:lvlText w:val=""/>
      <w:lvlJc w:val="left"/>
      <w:pPr>
        <w:ind w:left="6480" w:hanging="360"/>
      </w:pPr>
      <w:rPr>
        <w:rFonts w:ascii="Wingdings" w:eastAsia="Wingdings" w:hAnsi="Wingdings" w:cs="Wingdings"/>
      </w:rPr>
    </w:lvl>
  </w:abstractNum>
  <w:abstractNum w:abstractNumId="1" w15:restartNumberingAfterBreak="0">
    <w:nsid w:val="1AC92375"/>
    <w:multiLevelType w:val="hybridMultilevel"/>
    <w:tmpl w:val="D1C4C42E"/>
    <w:lvl w:ilvl="0" w:tplc="AE64D18A">
      <w:start w:val="1"/>
      <w:numFmt w:val="bullet"/>
      <w:lvlText w:val=""/>
      <w:lvlJc w:val="left"/>
      <w:pPr>
        <w:ind w:left="720" w:hanging="360"/>
      </w:pPr>
      <w:rPr>
        <w:rFonts w:ascii="Symbol" w:eastAsia="Symbol" w:hAnsi="Symbol" w:cs="Symbol"/>
      </w:rPr>
    </w:lvl>
    <w:lvl w:ilvl="1" w:tplc="47E21148">
      <w:start w:val="1"/>
      <w:numFmt w:val="bullet"/>
      <w:lvlText w:val="o"/>
      <w:lvlJc w:val="left"/>
      <w:pPr>
        <w:ind w:left="1440" w:hanging="360"/>
      </w:pPr>
      <w:rPr>
        <w:rFonts w:ascii="Courier New" w:eastAsia="Courier New" w:hAnsi="Courier New" w:cs="Courier New"/>
      </w:rPr>
    </w:lvl>
    <w:lvl w:ilvl="2" w:tplc="60B0B564">
      <w:start w:val="1"/>
      <w:numFmt w:val="bullet"/>
      <w:lvlText w:val=""/>
      <w:lvlJc w:val="left"/>
      <w:pPr>
        <w:ind w:left="2160" w:hanging="360"/>
      </w:pPr>
      <w:rPr>
        <w:rFonts w:ascii="Wingdings" w:eastAsia="Wingdings" w:hAnsi="Wingdings" w:cs="Wingdings"/>
      </w:rPr>
    </w:lvl>
    <w:lvl w:ilvl="3" w:tplc="6D105D9E">
      <w:start w:val="1"/>
      <w:numFmt w:val="bullet"/>
      <w:lvlText w:val=""/>
      <w:lvlJc w:val="left"/>
      <w:pPr>
        <w:ind w:left="2880" w:hanging="360"/>
      </w:pPr>
      <w:rPr>
        <w:rFonts w:ascii="Symbol" w:eastAsia="Symbol" w:hAnsi="Symbol" w:cs="Symbol"/>
      </w:rPr>
    </w:lvl>
    <w:lvl w:ilvl="4" w:tplc="FD2079AE">
      <w:start w:val="1"/>
      <w:numFmt w:val="bullet"/>
      <w:lvlText w:val="o"/>
      <w:lvlJc w:val="left"/>
      <w:pPr>
        <w:ind w:left="3600" w:hanging="360"/>
      </w:pPr>
      <w:rPr>
        <w:rFonts w:ascii="Courier New" w:eastAsia="Courier New" w:hAnsi="Courier New" w:cs="Courier New"/>
      </w:rPr>
    </w:lvl>
    <w:lvl w:ilvl="5" w:tplc="9E3ABBE2">
      <w:start w:val="1"/>
      <w:numFmt w:val="bullet"/>
      <w:lvlText w:val=""/>
      <w:lvlJc w:val="left"/>
      <w:pPr>
        <w:ind w:left="4320" w:hanging="360"/>
      </w:pPr>
      <w:rPr>
        <w:rFonts w:ascii="Wingdings" w:eastAsia="Wingdings" w:hAnsi="Wingdings" w:cs="Wingdings"/>
      </w:rPr>
    </w:lvl>
    <w:lvl w:ilvl="6" w:tplc="42B69B02">
      <w:start w:val="1"/>
      <w:numFmt w:val="bullet"/>
      <w:lvlText w:val=""/>
      <w:lvlJc w:val="left"/>
      <w:pPr>
        <w:ind w:left="5040" w:hanging="360"/>
      </w:pPr>
      <w:rPr>
        <w:rFonts w:ascii="Symbol" w:eastAsia="Symbol" w:hAnsi="Symbol" w:cs="Symbol"/>
      </w:rPr>
    </w:lvl>
    <w:lvl w:ilvl="7" w:tplc="052CE1E4">
      <w:start w:val="1"/>
      <w:numFmt w:val="bullet"/>
      <w:lvlText w:val="o"/>
      <w:lvlJc w:val="left"/>
      <w:pPr>
        <w:ind w:left="5760" w:hanging="360"/>
      </w:pPr>
      <w:rPr>
        <w:rFonts w:ascii="Courier New" w:eastAsia="Courier New" w:hAnsi="Courier New" w:cs="Courier New"/>
      </w:rPr>
    </w:lvl>
    <w:lvl w:ilvl="8" w:tplc="73C23B64">
      <w:start w:val="1"/>
      <w:numFmt w:val="bullet"/>
      <w:lvlText w:val=""/>
      <w:lvlJc w:val="left"/>
      <w:pPr>
        <w:ind w:left="6480" w:hanging="360"/>
      </w:pPr>
      <w:rPr>
        <w:rFonts w:ascii="Wingdings" w:eastAsia="Wingdings" w:hAnsi="Wingdings" w:cs="Wingdings"/>
      </w:rPr>
    </w:lvl>
  </w:abstractNum>
  <w:abstractNum w:abstractNumId="2" w15:restartNumberingAfterBreak="0">
    <w:nsid w:val="20314085"/>
    <w:multiLevelType w:val="hybridMultilevel"/>
    <w:tmpl w:val="97C039E6"/>
    <w:lvl w:ilvl="0" w:tplc="8B3C2860">
      <w:start w:val="1"/>
      <w:numFmt w:val="bullet"/>
      <w:lvlText w:val=""/>
      <w:lvlJc w:val="left"/>
      <w:pPr>
        <w:ind w:left="720" w:hanging="360"/>
      </w:pPr>
      <w:rPr>
        <w:rFonts w:ascii="Symbol" w:eastAsia="Symbol" w:hAnsi="Symbol" w:cs="Symbol"/>
      </w:rPr>
    </w:lvl>
    <w:lvl w:ilvl="1" w:tplc="5C76AF90">
      <w:start w:val="1"/>
      <w:numFmt w:val="bullet"/>
      <w:lvlText w:val="o"/>
      <w:lvlJc w:val="left"/>
      <w:pPr>
        <w:ind w:left="1440" w:hanging="360"/>
      </w:pPr>
      <w:rPr>
        <w:rFonts w:ascii="Courier New" w:eastAsia="Courier New" w:hAnsi="Courier New" w:cs="Courier New"/>
      </w:rPr>
    </w:lvl>
    <w:lvl w:ilvl="2" w:tplc="B4383C7E">
      <w:start w:val="1"/>
      <w:numFmt w:val="bullet"/>
      <w:lvlText w:val=""/>
      <w:lvlJc w:val="left"/>
      <w:pPr>
        <w:ind w:left="2160" w:hanging="360"/>
      </w:pPr>
      <w:rPr>
        <w:rFonts w:ascii="Wingdings" w:eastAsia="Wingdings" w:hAnsi="Wingdings" w:cs="Wingdings"/>
      </w:rPr>
    </w:lvl>
    <w:lvl w:ilvl="3" w:tplc="21DEA6D0">
      <w:start w:val="1"/>
      <w:numFmt w:val="bullet"/>
      <w:lvlText w:val=""/>
      <w:lvlJc w:val="left"/>
      <w:pPr>
        <w:ind w:left="2880" w:hanging="360"/>
      </w:pPr>
      <w:rPr>
        <w:rFonts w:ascii="Symbol" w:eastAsia="Symbol" w:hAnsi="Symbol" w:cs="Symbol"/>
      </w:rPr>
    </w:lvl>
    <w:lvl w:ilvl="4" w:tplc="E202F006">
      <w:start w:val="1"/>
      <w:numFmt w:val="bullet"/>
      <w:lvlText w:val="o"/>
      <w:lvlJc w:val="left"/>
      <w:pPr>
        <w:ind w:left="3600" w:hanging="360"/>
      </w:pPr>
      <w:rPr>
        <w:rFonts w:ascii="Courier New" w:eastAsia="Courier New" w:hAnsi="Courier New" w:cs="Courier New"/>
      </w:rPr>
    </w:lvl>
    <w:lvl w:ilvl="5" w:tplc="9D0445B4">
      <w:start w:val="1"/>
      <w:numFmt w:val="bullet"/>
      <w:lvlText w:val=""/>
      <w:lvlJc w:val="left"/>
      <w:pPr>
        <w:ind w:left="4320" w:hanging="360"/>
      </w:pPr>
      <w:rPr>
        <w:rFonts w:ascii="Wingdings" w:eastAsia="Wingdings" w:hAnsi="Wingdings" w:cs="Wingdings"/>
      </w:rPr>
    </w:lvl>
    <w:lvl w:ilvl="6" w:tplc="8B12A55C">
      <w:start w:val="1"/>
      <w:numFmt w:val="bullet"/>
      <w:lvlText w:val=""/>
      <w:lvlJc w:val="left"/>
      <w:pPr>
        <w:ind w:left="5040" w:hanging="360"/>
      </w:pPr>
      <w:rPr>
        <w:rFonts w:ascii="Symbol" w:eastAsia="Symbol" w:hAnsi="Symbol" w:cs="Symbol"/>
      </w:rPr>
    </w:lvl>
    <w:lvl w:ilvl="7" w:tplc="5046F13C">
      <w:start w:val="1"/>
      <w:numFmt w:val="bullet"/>
      <w:lvlText w:val="o"/>
      <w:lvlJc w:val="left"/>
      <w:pPr>
        <w:ind w:left="5760" w:hanging="360"/>
      </w:pPr>
      <w:rPr>
        <w:rFonts w:ascii="Courier New" w:eastAsia="Courier New" w:hAnsi="Courier New" w:cs="Courier New"/>
      </w:rPr>
    </w:lvl>
    <w:lvl w:ilvl="8" w:tplc="5382FE14">
      <w:start w:val="1"/>
      <w:numFmt w:val="bullet"/>
      <w:lvlText w:val=""/>
      <w:lvlJc w:val="left"/>
      <w:pPr>
        <w:ind w:left="6480" w:hanging="360"/>
      </w:pPr>
      <w:rPr>
        <w:rFonts w:ascii="Wingdings" w:eastAsia="Wingdings" w:hAnsi="Wingdings" w:cs="Wingdings"/>
      </w:rPr>
    </w:lvl>
  </w:abstractNum>
  <w:abstractNum w:abstractNumId="3" w15:restartNumberingAfterBreak="0">
    <w:nsid w:val="21ECE9A9"/>
    <w:multiLevelType w:val="hybridMultilevel"/>
    <w:tmpl w:val="3E12AF4A"/>
    <w:lvl w:ilvl="0" w:tplc="5A247D66">
      <w:start w:val="1"/>
      <w:numFmt w:val="bullet"/>
      <w:lvlText w:val=""/>
      <w:lvlJc w:val="left"/>
      <w:pPr>
        <w:ind w:left="720" w:hanging="360"/>
      </w:pPr>
      <w:rPr>
        <w:rFonts w:ascii="Symbol" w:eastAsia="Symbol" w:hAnsi="Symbol" w:cs="Symbol"/>
      </w:rPr>
    </w:lvl>
    <w:lvl w:ilvl="1" w:tplc="50E6E6F6">
      <w:start w:val="1"/>
      <w:numFmt w:val="bullet"/>
      <w:lvlText w:val="o"/>
      <w:lvlJc w:val="left"/>
      <w:pPr>
        <w:ind w:left="1440" w:hanging="360"/>
      </w:pPr>
      <w:rPr>
        <w:rFonts w:ascii="Courier New" w:eastAsia="Courier New" w:hAnsi="Courier New" w:cs="Courier New"/>
      </w:rPr>
    </w:lvl>
    <w:lvl w:ilvl="2" w:tplc="15A6E09A">
      <w:start w:val="1"/>
      <w:numFmt w:val="bullet"/>
      <w:lvlText w:val=""/>
      <w:lvlJc w:val="left"/>
      <w:pPr>
        <w:ind w:left="2160" w:hanging="360"/>
      </w:pPr>
      <w:rPr>
        <w:rFonts w:ascii="Wingdings" w:eastAsia="Wingdings" w:hAnsi="Wingdings" w:cs="Wingdings"/>
      </w:rPr>
    </w:lvl>
    <w:lvl w:ilvl="3" w:tplc="1638BF44">
      <w:start w:val="1"/>
      <w:numFmt w:val="bullet"/>
      <w:lvlText w:val=""/>
      <w:lvlJc w:val="left"/>
      <w:pPr>
        <w:ind w:left="2880" w:hanging="360"/>
      </w:pPr>
      <w:rPr>
        <w:rFonts w:ascii="Symbol" w:eastAsia="Symbol" w:hAnsi="Symbol" w:cs="Symbol"/>
      </w:rPr>
    </w:lvl>
    <w:lvl w:ilvl="4" w:tplc="4ED25C9A">
      <w:start w:val="1"/>
      <w:numFmt w:val="bullet"/>
      <w:lvlText w:val="o"/>
      <w:lvlJc w:val="left"/>
      <w:pPr>
        <w:ind w:left="3600" w:hanging="360"/>
      </w:pPr>
      <w:rPr>
        <w:rFonts w:ascii="Courier New" w:eastAsia="Courier New" w:hAnsi="Courier New" w:cs="Courier New"/>
      </w:rPr>
    </w:lvl>
    <w:lvl w:ilvl="5" w:tplc="D91EF262">
      <w:start w:val="1"/>
      <w:numFmt w:val="bullet"/>
      <w:lvlText w:val=""/>
      <w:lvlJc w:val="left"/>
      <w:pPr>
        <w:ind w:left="4320" w:hanging="360"/>
      </w:pPr>
      <w:rPr>
        <w:rFonts w:ascii="Wingdings" w:eastAsia="Wingdings" w:hAnsi="Wingdings" w:cs="Wingdings"/>
      </w:rPr>
    </w:lvl>
    <w:lvl w:ilvl="6" w:tplc="4E06D206">
      <w:start w:val="1"/>
      <w:numFmt w:val="bullet"/>
      <w:lvlText w:val=""/>
      <w:lvlJc w:val="left"/>
      <w:pPr>
        <w:ind w:left="5040" w:hanging="360"/>
      </w:pPr>
      <w:rPr>
        <w:rFonts w:ascii="Symbol" w:eastAsia="Symbol" w:hAnsi="Symbol" w:cs="Symbol"/>
      </w:rPr>
    </w:lvl>
    <w:lvl w:ilvl="7" w:tplc="A6CC901A">
      <w:start w:val="1"/>
      <w:numFmt w:val="bullet"/>
      <w:lvlText w:val="o"/>
      <w:lvlJc w:val="left"/>
      <w:pPr>
        <w:ind w:left="5760" w:hanging="360"/>
      </w:pPr>
      <w:rPr>
        <w:rFonts w:ascii="Courier New" w:eastAsia="Courier New" w:hAnsi="Courier New" w:cs="Courier New"/>
      </w:rPr>
    </w:lvl>
    <w:lvl w:ilvl="8" w:tplc="A3466798">
      <w:start w:val="1"/>
      <w:numFmt w:val="bullet"/>
      <w:lvlText w:val=""/>
      <w:lvlJc w:val="left"/>
      <w:pPr>
        <w:ind w:left="6480" w:hanging="360"/>
      </w:pPr>
      <w:rPr>
        <w:rFonts w:ascii="Wingdings" w:eastAsia="Wingdings" w:hAnsi="Wingdings" w:cs="Wingdings"/>
      </w:rPr>
    </w:lvl>
  </w:abstractNum>
  <w:abstractNum w:abstractNumId="4" w15:restartNumberingAfterBreak="0">
    <w:nsid w:val="3631BEFF"/>
    <w:multiLevelType w:val="hybridMultilevel"/>
    <w:tmpl w:val="3B42A7F4"/>
    <w:lvl w:ilvl="0" w:tplc="CE30B280">
      <w:start w:val="1"/>
      <w:numFmt w:val="bullet"/>
      <w:lvlText w:val=""/>
      <w:lvlJc w:val="left"/>
      <w:pPr>
        <w:ind w:left="720" w:hanging="360"/>
      </w:pPr>
      <w:rPr>
        <w:rFonts w:ascii="Symbol" w:eastAsia="Symbol" w:hAnsi="Symbol" w:cs="Symbol"/>
      </w:rPr>
    </w:lvl>
    <w:lvl w:ilvl="1" w:tplc="83E8DC08">
      <w:start w:val="1"/>
      <w:numFmt w:val="bullet"/>
      <w:lvlText w:val="o"/>
      <w:lvlJc w:val="left"/>
      <w:pPr>
        <w:ind w:left="1440" w:hanging="360"/>
      </w:pPr>
      <w:rPr>
        <w:rFonts w:ascii="Courier New" w:eastAsia="Courier New" w:hAnsi="Courier New" w:cs="Courier New"/>
      </w:rPr>
    </w:lvl>
    <w:lvl w:ilvl="2" w:tplc="AA74C7F8">
      <w:start w:val="1"/>
      <w:numFmt w:val="bullet"/>
      <w:lvlText w:val=""/>
      <w:lvlJc w:val="left"/>
      <w:pPr>
        <w:ind w:left="2160" w:hanging="360"/>
      </w:pPr>
      <w:rPr>
        <w:rFonts w:ascii="Wingdings" w:eastAsia="Wingdings" w:hAnsi="Wingdings" w:cs="Wingdings"/>
      </w:rPr>
    </w:lvl>
    <w:lvl w:ilvl="3" w:tplc="2C62FCBC">
      <w:start w:val="1"/>
      <w:numFmt w:val="bullet"/>
      <w:lvlText w:val=""/>
      <w:lvlJc w:val="left"/>
      <w:pPr>
        <w:ind w:left="2880" w:hanging="360"/>
      </w:pPr>
      <w:rPr>
        <w:rFonts w:ascii="Symbol" w:eastAsia="Symbol" w:hAnsi="Symbol" w:cs="Symbol"/>
      </w:rPr>
    </w:lvl>
    <w:lvl w:ilvl="4" w:tplc="7A1CE2A2">
      <w:start w:val="1"/>
      <w:numFmt w:val="bullet"/>
      <w:lvlText w:val="o"/>
      <w:lvlJc w:val="left"/>
      <w:pPr>
        <w:ind w:left="3600" w:hanging="360"/>
      </w:pPr>
      <w:rPr>
        <w:rFonts w:ascii="Courier New" w:eastAsia="Courier New" w:hAnsi="Courier New" w:cs="Courier New"/>
      </w:rPr>
    </w:lvl>
    <w:lvl w:ilvl="5" w:tplc="FEFEEE9C">
      <w:start w:val="1"/>
      <w:numFmt w:val="bullet"/>
      <w:lvlText w:val=""/>
      <w:lvlJc w:val="left"/>
      <w:pPr>
        <w:ind w:left="4320" w:hanging="360"/>
      </w:pPr>
      <w:rPr>
        <w:rFonts w:ascii="Wingdings" w:eastAsia="Wingdings" w:hAnsi="Wingdings" w:cs="Wingdings"/>
      </w:rPr>
    </w:lvl>
    <w:lvl w:ilvl="6" w:tplc="7BECB1E4">
      <w:start w:val="1"/>
      <w:numFmt w:val="bullet"/>
      <w:lvlText w:val=""/>
      <w:lvlJc w:val="left"/>
      <w:pPr>
        <w:ind w:left="5040" w:hanging="360"/>
      </w:pPr>
      <w:rPr>
        <w:rFonts w:ascii="Symbol" w:eastAsia="Symbol" w:hAnsi="Symbol" w:cs="Symbol"/>
      </w:rPr>
    </w:lvl>
    <w:lvl w:ilvl="7" w:tplc="F1665E5E">
      <w:start w:val="1"/>
      <w:numFmt w:val="bullet"/>
      <w:lvlText w:val="o"/>
      <w:lvlJc w:val="left"/>
      <w:pPr>
        <w:ind w:left="5760" w:hanging="360"/>
      </w:pPr>
      <w:rPr>
        <w:rFonts w:ascii="Courier New" w:eastAsia="Courier New" w:hAnsi="Courier New" w:cs="Courier New"/>
      </w:rPr>
    </w:lvl>
    <w:lvl w:ilvl="8" w:tplc="A7669EAA">
      <w:start w:val="1"/>
      <w:numFmt w:val="bullet"/>
      <w:lvlText w:val=""/>
      <w:lvlJc w:val="left"/>
      <w:pPr>
        <w:ind w:left="6480" w:hanging="360"/>
      </w:pPr>
      <w:rPr>
        <w:rFonts w:ascii="Wingdings" w:eastAsia="Wingdings" w:hAnsi="Wingdings" w:cs="Wingdings"/>
      </w:rPr>
    </w:lvl>
  </w:abstractNum>
  <w:abstractNum w:abstractNumId="5" w15:restartNumberingAfterBreak="0">
    <w:nsid w:val="4235E980"/>
    <w:multiLevelType w:val="hybridMultilevel"/>
    <w:tmpl w:val="B742E2B8"/>
    <w:lvl w:ilvl="0" w:tplc="66A2E7B2">
      <w:start w:val="1"/>
      <w:numFmt w:val="bullet"/>
      <w:lvlText w:val="●"/>
      <w:lvlJc w:val="left"/>
      <w:pPr>
        <w:ind w:left="720" w:hanging="360"/>
      </w:pPr>
    </w:lvl>
    <w:lvl w:ilvl="1" w:tplc="2F94CCF2">
      <w:start w:val="1"/>
      <w:numFmt w:val="bullet"/>
      <w:lvlText w:val="○"/>
      <w:lvlJc w:val="left"/>
      <w:pPr>
        <w:ind w:left="1440" w:hanging="360"/>
      </w:pPr>
    </w:lvl>
    <w:lvl w:ilvl="2" w:tplc="D680A0DA">
      <w:start w:val="1"/>
      <w:numFmt w:val="bullet"/>
      <w:lvlText w:val="■"/>
      <w:lvlJc w:val="left"/>
      <w:pPr>
        <w:ind w:left="2160" w:hanging="360"/>
      </w:pPr>
    </w:lvl>
    <w:lvl w:ilvl="3" w:tplc="76DA1652">
      <w:start w:val="1"/>
      <w:numFmt w:val="bullet"/>
      <w:lvlText w:val="●"/>
      <w:lvlJc w:val="left"/>
      <w:pPr>
        <w:ind w:left="2880" w:hanging="360"/>
      </w:pPr>
    </w:lvl>
    <w:lvl w:ilvl="4" w:tplc="9904D8D4">
      <w:start w:val="1"/>
      <w:numFmt w:val="bullet"/>
      <w:lvlText w:val="○"/>
      <w:lvlJc w:val="left"/>
      <w:pPr>
        <w:ind w:left="3600" w:hanging="360"/>
      </w:pPr>
    </w:lvl>
    <w:lvl w:ilvl="5" w:tplc="00621190">
      <w:start w:val="1"/>
      <w:numFmt w:val="bullet"/>
      <w:lvlText w:val="■"/>
      <w:lvlJc w:val="left"/>
      <w:pPr>
        <w:ind w:left="4320" w:hanging="360"/>
      </w:pPr>
    </w:lvl>
    <w:lvl w:ilvl="6" w:tplc="18561534">
      <w:start w:val="1"/>
      <w:numFmt w:val="bullet"/>
      <w:lvlText w:val="●"/>
      <w:lvlJc w:val="left"/>
      <w:pPr>
        <w:ind w:left="5040" w:hanging="360"/>
      </w:pPr>
    </w:lvl>
    <w:lvl w:ilvl="7" w:tplc="AF46B67A">
      <w:start w:val="1"/>
      <w:numFmt w:val="bullet"/>
      <w:lvlText w:val="●"/>
      <w:lvlJc w:val="left"/>
      <w:pPr>
        <w:ind w:left="5760" w:hanging="360"/>
      </w:pPr>
    </w:lvl>
    <w:lvl w:ilvl="8" w:tplc="1798AA74">
      <w:start w:val="1"/>
      <w:numFmt w:val="bullet"/>
      <w:lvlText w:val="●"/>
      <w:lvlJc w:val="left"/>
      <w:pPr>
        <w:ind w:left="6480" w:hanging="360"/>
      </w:pPr>
    </w:lvl>
  </w:abstractNum>
  <w:num w:numId="1" w16cid:durableId="439497448">
    <w:abstractNumId w:val="5"/>
    <w:lvlOverride w:ilvl="0">
      <w:startOverride w:val="1"/>
    </w:lvlOverride>
  </w:num>
  <w:num w:numId="2" w16cid:durableId="1048605115">
    <w:abstractNumId w:val="4"/>
  </w:num>
  <w:num w:numId="3" w16cid:durableId="237322515">
    <w:abstractNumId w:val="3"/>
  </w:num>
  <w:num w:numId="4" w16cid:durableId="1422725978">
    <w:abstractNumId w:val="1"/>
  </w:num>
  <w:num w:numId="5" w16cid:durableId="832721559">
    <w:abstractNumId w:val="2"/>
  </w:num>
  <w:num w:numId="6" w16cid:durableId="12374031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proofState w:spelling="clean" w:grammar="clean"/>
  <w:trackRevisions/>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5BCEEA9"/>
    <w:rsid w:val="00000D79"/>
    <w:rsid w:val="00014FF7"/>
    <w:rsid w:val="00023F80"/>
    <w:rsid w:val="0004242F"/>
    <w:rsid w:val="00053081"/>
    <w:rsid w:val="000665FE"/>
    <w:rsid w:val="00067C30"/>
    <w:rsid w:val="0008152C"/>
    <w:rsid w:val="00090152"/>
    <w:rsid w:val="000A0D68"/>
    <w:rsid w:val="000E34D7"/>
    <w:rsid w:val="000E4CD9"/>
    <w:rsid w:val="000F12AD"/>
    <w:rsid w:val="000F2188"/>
    <w:rsid w:val="00103DDB"/>
    <w:rsid w:val="00107BC4"/>
    <w:rsid w:val="00144065"/>
    <w:rsid w:val="0014438C"/>
    <w:rsid w:val="00145191"/>
    <w:rsid w:val="0015777C"/>
    <w:rsid w:val="00182F7D"/>
    <w:rsid w:val="001A35FC"/>
    <w:rsid w:val="001B4FA0"/>
    <w:rsid w:val="001B72EB"/>
    <w:rsid w:val="001C414F"/>
    <w:rsid w:val="001D3933"/>
    <w:rsid w:val="001E0B6C"/>
    <w:rsid w:val="0020571C"/>
    <w:rsid w:val="002111F1"/>
    <w:rsid w:val="00211D8C"/>
    <w:rsid w:val="00225704"/>
    <w:rsid w:val="00226FE1"/>
    <w:rsid w:val="00230105"/>
    <w:rsid w:val="0023164A"/>
    <w:rsid w:val="00235453"/>
    <w:rsid w:val="002448F1"/>
    <w:rsid w:val="002453E4"/>
    <w:rsid w:val="00246716"/>
    <w:rsid w:val="002575B1"/>
    <w:rsid w:val="00263184"/>
    <w:rsid w:val="00266DF9"/>
    <w:rsid w:val="00282A29"/>
    <w:rsid w:val="0028642F"/>
    <w:rsid w:val="00290E2C"/>
    <w:rsid w:val="00293FF4"/>
    <w:rsid w:val="00297C01"/>
    <w:rsid w:val="002A5E3F"/>
    <w:rsid w:val="002B0F15"/>
    <w:rsid w:val="002B6480"/>
    <w:rsid w:val="002D1AB8"/>
    <w:rsid w:val="002D3902"/>
    <w:rsid w:val="002E53C6"/>
    <w:rsid w:val="00301D3E"/>
    <w:rsid w:val="00307F9A"/>
    <w:rsid w:val="003313B4"/>
    <w:rsid w:val="00335D72"/>
    <w:rsid w:val="0033717A"/>
    <w:rsid w:val="00340722"/>
    <w:rsid w:val="003470C0"/>
    <w:rsid w:val="003628C9"/>
    <w:rsid w:val="00371BBB"/>
    <w:rsid w:val="00372374"/>
    <w:rsid w:val="0039330A"/>
    <w:rsid w:val="003B301A"/>
    <w:rsid w:val="003D182C"/>
    <w:rsid w:val="003D7F3C"/>
    <w:rsid w:val="003E408A"/>
    <w:rsid w:val="00400A94"/>
    <w:rsid w:val="004016F6"/>
    <w:rsid w:val="004077FF"/>
    <w:rsid w:val="00415F9C"/>
    <w:rsid w:val="004358A1"/>
    <w:rsid w:val="0044621A"/>
    <w:rsid w:val="00456DEA"/>
    <w:rsid w:val="004706BD"/>
    <w:rsid w:val="00485079"/>
    <w:rsid w:val="0049634A"/>
    <w:rsid w:val="004A2CC9"/>
    <w:rsid w:val="004A4886"/>
    <w:rsid w:val="004B2F62"/>
    <w:rsid w:val="004C092E"/>
    <w:rsid w:val="004C30D4"/>
    <w:rsid w:val="004C4554"/>
    <w:rsid w:val="004C7B60"/>
    <w:rsid w:val="004D2ABC"/>
    <w:rsid w:val="004E6B87"/>
    <w:rsid w:val="004F289E"/>
    <w:rsid w:val="005014C9"/>
    <w:rsid w:val="00511E2D"/>
    <w:rsid w:val="00520498"/>
    <w:rsid w:val="005304E5"/>
    <w:rsid w:val="00532385"/>
    <w:rsid w:val="0053426A"/>
    <w:rsid w:val="00540428"/>
    <w:rsid w:val="00542D10"/>
    <w:rsid w:val="00544ADD"/>
    <w:rsid w:val="005735B5"/>
    <w:rsid w:val="0058239F"/>
    <w:rsid w:val="00595E53"/>
    <w:rsid w:val="005A1AD0"/>
    <w:rsid w:val="005B2702"/>
    <w:rsid w:val="005B3A54"/>
    <w:rsid w:val="005B621F"/>
    <w:rsid w:val="005C6CEC"/>
    <w:rsid w:val="005E02DB"/>
    <w:rsid w:val="005F111D"/>
    <w:rsid w:val="006001E9"/>
    <w:rsid w:val="00611A4C"/>
    <w:rsid w:val="0065210F"/>
    <w:rsid w:val="006528B0"/>
    <w:rsid w:val="00662547"/>
    <w:rsid w:val="00670539"/>
    <w:rsid w:val="006748F9"/>
    <w:rsid w:val="00680143"/>
    <w:rsid w:val="00685D27"/>
    <w:rsid w:val="00694C69"/>
    <w:rsid w:val="006A3C28"/>
    <w:rsid w:val="006C6C21"/>
    <w:rsid w:val="00716FD0"/>
    <w:rsid w:val="007318C3"/>
    <w:rsid w:val="00731A25"/>
    <w:rsid w:val="007450FD"/>
    <w:rsid w:val="0075326F"/>
    <w:rsid w:val="007677B8"/>
    <w:rsid w:val="00767BEC"/>
    <w:rsid w:val="00770BE9"/>
    <w:rsid w:val="00777B1B"/>
    <w:rsid w:val="00790A01"/>
    <w:rsid w:val="007A2A8D"/>
    <w:rsid w:val="007C4AEB"/>
    <w:rsid w:val="007D470D"/>
    <w:rsid w:val="007E39F7"/>
    <w:rsid w:val="007E60A6"/>
    <w:rsid w:val="007E7060"/>
    <w:rsid w:val="007E7B87"/>
    <w:rsid w:val="00801AF8"/>
    <w:rsid w:val="00804EEA"/>
    <w:rsid w:val="00827180"/>
    <w:rsid w:val="0084646B"/>
    <w:rsid w:val="00852501"/>
    <w:rsid w:val="008542CC"/>
    <w:rsid w:val="00860E5B"/>
    <w:rsid w:val="00863F16"/>
    <w:rsid w:val="008835D7"/>
    <w:rsid w:val="0088508D"/>
    <w:rsid w:val="00894D47"/>
    <w:rsid w:val="00896BE7"/>
    <w:rsid w:val="008972DA"/>
    <w:rsid w:val="008A0A6D"/>
    <w:rsid w:val="008B2F41"/>
    <w:rsid w:val="008B74D2"/>
    <w:rsid w:val="008C0E8B"/>
    <w:rsid w:val="008E6956"/>
    <w:rsid w:val="008E79A6"/>
    <w:rsid w:val="008F7906"/>
    <w:rsid w:val="00904F74"/>
    <w:rsid w:val="00930DD0"/>
    <w:rsid w:val="0093688D"/>
    <w:rsid w:val="00936E05"/>
    <w:rsid w:val="009459B1"/>
    <w:rsid w:val="0094698A"/>
    <w:rsid w:val="009562DE"/>
    <w:rsid w:val="0096520A"/>
    <w:rsid w:val="00966B62"/>
    <w:rsid w:val="00985543"/>
    <w:rsid w:val="009A121B"/>
    <w:rsid w:val="009B7F24"/>
    <w:rsid w:val="009E1FD8"/>
    <w:rsid w:val="009F0648"/>
    <w:rsid w:val="00A07E5F"/>
    <w:rsid w:val="00A10D35"/>
    <w:rsid w:val="00A10D3B"/>
    <w:rsid w:val="00A24E0D"/>
    <w:rsid w:val="00A26496"/>
    <w:rsid w:val="00A26781"/>
    <w:rsid w:val="00A26BA8"/>
    <w:rsid w:val="00A43A10"/>
    <w:rsid w:val="00A50053"/>
    <w:rsid w:val="00A51694"/>
    <w:rsid w:val="00A52039"/>
    <w:rsid w:val="00A556A1"/>
    <w:rsid w:val="00A5761D"/>
    <w:rsid w:val="00A659A3"/>
    <w:rsid w:val="00A769AD"/>
    <w:rsid w:val="00A76A16"/>
    <w:rsid w:val="00A8131A"/>
    <w:rsid w:val="00A9594F"/>
    <w:rsid w:val="00A95DBD"/>
    <w:rsid w:val="00AA07DA"/>
    <w:rsid w:val="00AA3922"/>
    <w:rsid w:val="00AB1DB4"/>
    <w:rsid w:val="00AB7F3C"/>
    <w:rsid w:val="00AC112C"/>
    <w:rsid w:val="00AC45D4"/>
    <w:rsid w:val="00AD071E"/>
    <w:rsid w:val="00AE45E1"/>
    <w:rsid w:val="00AE5B54"/>
    <w:rsid w:val="00AF63D5"/>
    <w:rsid w:val="00AF7BB4"/>
    <w:rsid w:val="00B01DEB"/>
    <w:rsid w:val="00B31543"/>
    <w:rsid w:val="00B37023"/>
    <w:rsid w:val="00B4792D"/>
    <w:rsid w:val="00B47C7E"/>
    <w:rsid w:val="00B62671"/>
    <w:rsid w:val="00B76B66"/>
    <w:rsid w:val="00B936CA"/>
    <w:rsid w:val="00BA5C2B"/>
    <w:rsid w:val="00BB3852"/>
    <w:rsid w:val="00BB5B43"/>
    <w:rsid w:val="00BB6B9A"/>
    <w:rsid w:val="00BD5E88"/>
    <w:rsid w:val="00BF135B"/>
    <w:rsid w:val="00C04D05"/>
    <w:rsid w:val="00C14EBC"/>
    <w:rsid w:val="00C158AC"/>
    <w:rsid w:val="00C25209"/>
    <w:rsid w:val="00C36B87"/>
    <w:rsid w:val="00C812BB"/>
    <w:rsid w:val="00C81782"/>
    <w:rsid w:val="00C84014"/>
    <w:rsid w:val="00C905C6"/>
    <w:rsid w:val="00CA2666"/>
    <w:rsid w:val="00CB3081"/>
    <w:rsid w:val="00CB42FD"/>
    <w:rsid w:val="00CC45D0"/>
    <w:rsid w:val="00CC622B"/>
    <w:rsid w:val="00CD3D95"/>
    <w:rsid w:val="00CD4E5B"/>
    <w:rsid w:val="00CD6179"/>
    <w:rsid w:val="00CF6FA0"/>
    <w:rsid w:val="00D0438E"/>
    <w:rsid w:val="00D21297"/>
    <w:rsid w:val="00D25175"/>
    <w:rsid w:val="00D2540C"/>
    <w:rsid w:val="00D44889"/>
    <w:rsid w:val="00D44C79"/>
    <w:rsid w:val="00D50F84"/>
    <w:rsid w:val="00D57A8B"/>
    <w:rsid w:val="00D65012"/>
    <w:rsid w:val="00D65CCD"/>
    <w:rsid w:val="00D819B6"/>
    <w:rsid w:val="00DB490D"/>
    <w:rsid w:val="00DB4D04"/>
    <w:rsid w:val="00DB568D"/>
    <w:rsid w:val="00DB7CAD"/>
    <w:rsid w:val="00DC10FE"/>
    <w:rsid w:val="00DC40F0"/>
    <w:rsid w:val="00DC70D0"/>
    <w:rsid w:val="00DD2720"/>
    <w:rsid w:val="00DD5AD4"/>
    <w:rsid w:val="00DE765E"/>
    <w:rsid w:val="00DF01F5"/>
    <w:rsid w:val="00DF2DEB"/>
    <w:rsid w:val="00E16252"/>
    <w:rsid w:val="00E229FA"/>
    <w:rsid w:val="00E60DA8"/>
    <w:rsid w:val="00E719C3"/>
    <w:rsid w:val="00E824CA"/>
    <w:rsid w:val="00E929C3"/>
    <w:rsid w:val="00E96C48"/>
    <w:rsid w:val="00EB02D1"/>
    <w:rsid w:val="00ED13BF"/>
    <w:rsid w:val="00ED2D4A"/>
    <w:rsid w:val="00EF6B14"/>
    <w:rsid w:val="00EF73DE"/>
    <w:rsid w:val="00F01920"/>
    <w:rsid w:val="00F05A8D"/>
    <w:rsid w:val="00F17617"/>
    <w:rsid w:val="00F21328"/>
    <w:rsid w:val="00F32F2B"/>
    <w:rsid w:val="00F36DC1"/>
    <w:rsid w:val="00F40610"/>
    <w:rsid w:val="00F43E7F"/>
    <w:rsid w:val="00F533CD"/>
    <w:rsid w:val="00F6480F"/>
    <w:rsid w:val="00F84E1C"/>
    <w:rsid w:val="00F93A51"/>
    <w:rsid w:val="00F950C5"/>
    <w:rsid w:val="00FA7196"/>
    <w:rsid w:val="00FC3070"/>
    <w:rsid w:val="00FC5D29"/>
    <w:rsid w:val="00FC5F2B"/>
    <w:rsid w:val="00FE78DA"/>
    <w:rsid w:val="00FF2A55"/>
    <w:rsid w:val="14FC257C"/>
    <w:rsid w:val="25BCEE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C216FE"/>
  <w15:docId w15:val="{875B2D76-B175-40AB-99A5-A1443AC15C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44ADD"/>
    <w:pPr>
      <w:keepNext/>
      <w:keepLines/>
      <w:spacing w:before="360" w:after="80" w:line="259" w:lineRule="auto"/>
      <w:ind w:left="432" w:hanging="432"/>
      <w:outlineLvl w:val="0"/>
    </w:pPr>
    <w:rPr>
      <w:rFonts w:asciiTheme="majorHAnsi" w:eastAsiaTheme="majorEastAsia" w:hAnsiTheme="majorHAnsi" w:cstheme="majorBidi"/>
      <w:color w:val="3E706C" w:themeColor="accent1" w:themeShade="BF"/>
      <w:kern w:val="2"/>
      <w:sz w:val="40"/>
      <w:szCs w:val="40"/>
      <w:lang w:val="en-GB" w:eastAsia="en-US"/>
      <w14:ligatures w14:val="standardContextual"/>
    </w:rPr>
  </w:style>
  <w:style w:type="paragraph" w:styleId="Heading2">
    <w:name w:val="heading 2"/>
    <w:basedOn w:val="Normal"/>
    <w:next w:val="Normal"/>
    <w:link w:val="Heading2Char"/>
    <w:uiPriority w:val="9"/>
    <w:unhideWhenUsed/>
    <w:qFormat/>
    <w:rsid w:val="002A5E3F"/>
    <w:pPr>
      <w:keepNext/>
      <w:keepLines/>
      <w:spacing w:before="160" w:after="80" w:line="259" w:lineRule="auto"/>
      <w:ind w:left="576" w:hanging="576"/>
      <w:outlineLvl w:val="1"/>
    </w:pPr>
    <w:rPr>
      <w:rFonts w:asciiTheme="majorHAnsi" w:eastAsiaTheme="majorEastAsia" w:hAnsiTheme="majorHAnsi" w:cstheme="majorBidi"/>
      <w:color w:val="3E706C" w:themeColor="accent1" w:themeShade="BF"/>
      <w:kern w:val="2"/>
      <w:sz w:val="32"/>
      <w:szCs w:val="32"/>
      <w:lang w:val="en-GB" w:eastAsia="en-US"/>
      <w14:ligatures w14:val="standardContextual"/>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44ADD"/>
    <w:rPr>
      <w:rFonts w:asciiTheme="majorHAnsi" w:eastAsiaTheme="majorEastAsia" w:hAnsiTheme="majorHAnsi" w:cstheme="majorBidi"/>
      <w:color w:val="3E706C" w:themeColor="accent1" w:themeShade="BF"/>
      <w:kern w:val="2"/>
      <w:sz w:val="40"/>
      <w:szCs w:val="40"/>
      <w:lang w:val="en-GB" w:eastAsia="en-US"/>
      <w14:ligatures w14:val="standardContextual"/>
    </w:rPr>
  </w:style>
  <w:style w:type="character" w:customStyle="1" w:styleId="Heading2Char">
    <w:name w:val="Heading 2 Char"/>
    <w:basedOn w:val="DefaultParagraphFont"/>
    <w:link w:val="Heading2"/>
    <w:uiPriority w:val="9"/>
    <w:rsid w:val="002A5E3F"/>
    <w:rPr>
      <w:rFonts w:asciiTheme="majorHAnsi" w:eastAsiaTheme="majorEastAsia" w:hAnsiTheme="majorHAnsi" w:cstheme="majorBidi"/>
      <w:color w:val="3E706C" w:themeColor="accent1" w:themeShade="BF"/>
      <w:kern w:val="2"/>
      <w:sz w:val="32"/>
      <w:szCs w:val="32"/>
      <w:lang w:val="en-GB" w:eastAsia="en-US"/>
      <w14:ligatures w14:val="standardContextual"/>
    </w:rPr>
  </w:style>
  <w:style w:type="character" w:customStyle="1" w:styleId="Heading3Char">
    <w:name w:val="Heading 3 Char"/>
    <w:basedOn w:val="DefaultParagraphFont"/>
    <w:link w:val="Heading3"/>
    <w:uiPriority w:val="9"/>
    <w:rPr>
      <w:rFonts w:eastAsiaTheme="majorEastAsia" w:cstheme="majorBidi"/>
      <w:color w:val="0F4761"/>
      <w:sz w:val="28"/>
      <w:szCs w:val="28"/>
    </w:rPr>
  </w:style>
  <w:style w:type="character" w:customStyle="1" w:styleId="Heading4Char">
    <w:name w:val="Heading 4 Char"/>
    <w:basedOn w:val="DefaultParagraphFont"/>
    <w:link w:val="Heading4"/>
    <w:uiPriority w:val="9"/>
    <w:rPr>
      <w:rFonts w:eastAsiaTheme="majorEastAsia" w:cstheme="majorBidi"/>
      <w:i/>
      <w:iCs/>
      <w:color w:val="0F4761"/>
    </w:rPr>
  </w:style>
  <w:style w:type="character" w:customStyle="1" w:styleId="Heading5Char">
    <w:name w:val="Heading 5 Char"/>
    <w:basedOn w:val="DefaultParagraphFont"/>
    <w:link w:val="Heading5"/>
    <w:uiPriority w:val="9"/>
    <w:rPr>
      <w:rFonts w:eastAsiaTheme="majorEastAsia" w:cstheme="majorBidi"/>
      <w:color w:val="0F4761"/>
    </w:rPr>
  </w:style>
  <w:style w:type="character" w:customStyle="1" w:styleId="Heading6Char">
    <w:name w:val="Heading 6 Char"/>
    <w:basedOn w:val="DefaultParagraphFont"/>
    <w:link w:val="Heading6"/>
    <w:uiPriority w:val="9"/>
    <w:rPr>
      <w:rFonts w:eastAsiaTheme="majorEastAsia" w:cstheme="majorBidi"/>
      <w:i/>
      <w:iCs/>
      <w:color w:val="595959"/>
    </w:rPr>
  </w:style>
  <w:style w:type="character" w:customStyle="1" w:styleId="Heading7Char">
    <w:name w:val="Heading 7 Char"/>
    <w:basedOn w:val="DefaultParagraphFont"/>
    <w:link w:val="Heading7"/>
    <w:uiPriority w:val="9"/>
    <w:rPr>
      <w:rFonts w:eastAsiaTheme="majorEastAsia" w:cstheme="majorBidi"/>
      <w:color w:val="595959"/>
    </w:rPr>
  </w:style>
  <w:style w:type="character" w:customStyle="1" w:styleId="Heading8Char">
    <w:name w:val="Heading 8 Char"/>
    <w:basedOn w:val="DefaultParagraphFont"/>
    <w:link w:val="Heading8"/>
    <w:uiPriority w:val="9"/>
    <w:rPr>
      <w:rFonts w:eastAsiaTheme="majorEastAsia" w:cstheme="majorBidi"/>
      <w:i/>
      <w:iCs/>
      <w:color w:val="272727"/>
    </w:rPr>
  </w:style>
  <w:style w:type="character" w:customStyle="1" w:styleId="Heading9Char">
    <w:name w:val="Heading 9 Char"/>
    <w:basedOn w:val="DefaultParagraphFont"/>
    <w:link w:val="Heading9"/>
    <w:uiPriority w:val="9"/>
    <w:rPr>
      <w:rFonts w:eastAsiaTheme="majorEastAsia" w:cstheme="majorBidi"/>
      <w:color w:val="272727"/>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spacing w:val="15"/>
      <w:sz w:val="28"/>
      <w:szCs w:val="28"/>
    </w:rPr>
  </w:style>
  <w:style w:type="character" w:styleId="IntenseEmphasis">
    <w:name w:val="Intense Emphasis"/>
    <w:basedOn w:val="DefaultParagraphFont"/>
    <w:uiPriority w:val="21"/>
    <w:qFormat/>
    <w:rPr>
      <w:i/>
      <w:iCs/>
      <w:color w:val="0F4761"/>
    </w:rPr>
  </w:style>
  <w:style w:type="character" w:customStyle="1" w:styleId="QuoteChar">
    <w:name w:val="Quote Char"/>
    <w:basedOn w:val="DefaultParagraphFont"/>
    <w:link w:val="Quote"/>
    <w:uiPriority w:val="29"/>
    <w:rPr>
      <w:i/>
      <w:iCs/>
      <w:color w:val="404040"/>
    </w:rPr>
  </w:style>
  <w:style w:type="paragraph" w:styleId="Quote">
    <w:name w:val="Quote"/>
    <w:basedOn w:val="Normal"/>
    <w:next w:val="Normal"/>
    <w:link w:val="QuoteChar"/>
    <w:uiPriority w:val="29"/>
    <w:qFormat/>
    <w:pPr>
      <w:spacing w:before="160"/>
      <w:jc w:val="center"/>
    </w:pPr>
    <w:rPr>
      <w:i/>
      <w:iCs/>
      <w:color w:val="404040"/>
    </w:rPr>
  </w:style>
  <w:style w:type="character" w:customStyle="1" w:styleId="IntenseQuoteChar">
    <w:name w:val="Intense Quote Char"/>
    <w:basedOn w:val="DefaultParagraphFont"/>
    <w:link w:val="IntenseQuote"/>
    <w:uiPriority w:val="30"/>
    <w:rPr>
      <w:i/>
      <w:iCs/>
      <w:color w:val="0F4761"/>
    </w:rPr>
  </w:style>
  <w:style w:type="paragraph" w:styleId="IntenseQuote">
    <w:name w:val="Intense Quote"/>
    <w:basedOn w:val="Normal"/>
    <w:next w:val="Normal"/>
    <w:link w:val="IntenseQuoteChar"/>
    <w:uiPriority w:val="30"/>
    <w:qFormat/>
    <w:pPr>
      <w:pBdr>
        <w:top w:val="single" w:sz="4" w:space="10" w:color="0F4761"/>
        <w:bottom w:val="single" w:sz="4" w:space="10" w:color="0F4761"/>
      </w:pBdr>
      <w:spacing w:before="360" w:after="360"/>
      <w:ind w:left="864" w:right="864"/>
      <w:jc w:val="center"/>
    </w:pPr>
    <w:rPr>
      <w:i/>
      <w:iCs/>
      <w:color w:val="0F4761"/>
    </w:rPr>
  </w:style>
  <w:style w:type="character" w:styleId="IntenseReference">
    <w:name w:val="Intense Reference"/>
    <w:basedOn w:val="DefaultParagraphFont"/>
    <w:uiPriority w:val="32"/>
    <w:qFormat/>
    <w:rPr>
      <w:b/>
      <w:bCs/>
      <w:smallCaps/>
      <w:color w:val="0F4761"/>
      <w:spacing w:val="5"/>
    </w:rPr>
  </w:style>
  <w:style w:type="table" w:styleId="TableGrid">
    <w:name w:val="Table Grid"/>
    <w:basedOn w:val="TableNormal"/>
    <w:uiPriority w:val="59"/>
    <w:rsid w:val="00FB4123"/>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GridTable4-Accent1">
    <w:name w:val="Grid Table 4 Accent 1"/>
    <w:basedOn w:val="TableNormal"/>
    <w:uiPriority w:val="49"/>
    <w:pPr>
      <w:spacing w:after="0" w:line="240" w:lineRule="auto"/>
    </w:p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39791" w:themeFill="accent1"/>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BEBEA" w:themeFill="accent1" w:themeFillTint="33"/>
      </w:tcPr>
    </w:tblStylePr>
    <w:tblStylePr w:type="band1Horz">
      <w:tblPr/>
      <w:tcPr>
        <w:shd w:val="clear" w:color="auto" w:fill="DBEBEA" w:themeFill="accent1" w:themeFillTint="33"/>
      </w:tcPr>
    </w:tblStylePr>
  </w:style>
  <w:style w:type="character" w:styleId="Hyperlink">
    <w:name w:val="Hyperlink"/>
    <w:basedOn w:val="DefaultParagraphFont"/>
    <w:uiPriority w:val="99"/>
    <w:unhideWhenUsed/>
    <w:rPr>
      <w:color w:val="0563C1"/>
      <w:u w:val="single"/>
    </w:rPr>
  </w:style>
  <w:style w:type="paragraph" w:styleId="ListParagraph">
    <w:name w:val="List Paragraph"/>
    <w:basedOn w:val="Normal"/>
    <w:uiPriority w:val="34"/>
    <w:qFormat/>
    <w:pPr>
      <w:ind w:left="720"/>
      <w:contextualSpacing/>
    </w:pPr>
  </w:style>
  <w:style w:type="paragraph" w:customStyle="1" w:styleId="Code">
    <w:name w:val="Code"/>
    <w:basedOn w:val="Normal"/>
    <w:next w:val="Normal"/>
    <w:uiPriority w:val="35"/>
    <w:qFormat/>
    <w:pPr>
      <w:spacing w:before="160"/>
      <w:contextualSpacing/>
    </w:pPr>
    <w:rPr>
      <w:i/>
      <w:iCs/>
      <w:color w:val="404040"/>
    </w:rPr>
  </w:style>
  <w:style w:type="paragraph" w:styleId="FootnoteText">
    <w:name w:val="footnote text"/>
    <w:basedOn w:val="Normal"/>
    <w:link w:val="FootnoteTextChar"/>
    <w:uiPriority w:val="99"/>
    <w:semiHidden/>
    <w:unhideWhenUsed/>
    <w:rsid w:val="00C17A4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17A41"/>
    <w:rPr>
      <w:sz w:val="20"/>
      <w:szCs w:val="20"/>
    </w:rPr>
  </w:style>
  <w:style w:type="character" w:styleId="FootnoteReference">
    <w:name w:val="footnote reference"/>
    <w:basedOn w:val="DefaultParagraphFont"/>
    <w:uiPriority w:val="99"/>
    <w:unhideWhenUsed/>
    <w:rsid w:val="00C17A41"/>
    <w:rPr>
      <w:vertAlign w:val="superscript"/>
    </w:rPr>
  </w:style>
  <w:style w:type="character" w:styleId="CommentReference">
    <w:name w:val="annotation reference"/>
    <w:basedOn w:val="DefaultParagraphFont"/>
    <w:uiPriority w:val="99"/>
    <w:semiHidden/>
    <w:unhideWhenUsed/>
    <w:rsid w:val="00301D3E"/>
    <w:rPr>
      <w:sz w:val="16"/>
      <w:szCs w:val="16"/>
    </w:rPr>
  </w:style>
  <w:style w:type="paragraph" w:styleId="CommentText">
    <w:name w:val="annotation text"/>
    <w:basedOn w:val="Normal"/>
    <w:link w:val="CommentTextChar"/>
    <w:uiPriority w:val="99"/>
    <w:unhideWhenUsed/>
    <w:rsid w:val="00301D3E"/>
    <w:pPr>
      <w:spacing w:line="240" w:lineRule="auto"/>
    </w:pPr>
    <w:rPr>
      <w:sz w:val="20"/>
      <w:szCs w:val="20"/>
    </w:rPr>
  </w:style>
  <w:style w:type="character" w:customStyle="1" w:styleId="CommentTextChar">
    <w:name w:val="Comment Text Char"/>
    <w:basedOn w:val="DefaultParagraphFont"/>
    <w:link w:val="CommentText"/>
    <w:uiPriority w:val="99"/>
    <w:rsid w:val="00301D3E"/>
    <w:rPr>
      <w:sz w:val="20"/>
      <w:szCs w:val="20"/>
    </w:rPr>
  </w:style>
  <w:style w:type="paragraph" w:styleId="CommentSubject">
    <w:name w:val="annotation subject"/>
    <w:basedOn w:val="CommentText"/>
    <w:next w:val="CommentText"/>
    <w:link w:val="CommentSubjectChar"/>
    <w:uiPriority w:val="99"/>
    <w:semiHidden/>
    <w:unhideWhenUsed/>
    <w:rsid w:val="00B31543"/>
    <w:rPr>
      <w:b/>
      <w:bCs/>
    </w:rPr>
  </w:style>
  <w:style w:type="character" w:customStyle="1" w:styleId="CommentSubjectChar">
    <w:name w:val="Comment Subject Char"/>
    <w:basedOn w:val="CommentTextChar"/>
    <w:link w:val="CommentSubject"/>
    <w:uiPriority w:val="99"/>
    <w:semiHidden/>
    <w:rsid w:val="00B31543"/>
    <w:rPr>
      <w:b/>
      <w:bCs/>
      <w:sz w:val="20"/>
      <w:szCs w:val="20"/>
    </w:rPr>
  </w:style>
  <w:style w:type="character" w:styleId="Mention">
    <w:name w:val="Mention"/>
    <w:basedOn w:val="DefaultParagraphFont"/>
    <w:uiPriority w:val="99"/>
    <w:unhideWhenUsed/>
    <w:rsid w:val="00C04D05"/>
    <w:rPr>
      <w:color w:val="2B579A"/>
      <w:shd w:val="clear" w:color="auto" w:fill="E1DFDD"/>
    </w:rPr>
  </w:style>
  <w:style w:type="character" w:styleId="UnresolvedMention">
    <w:name w:val="Unresolved Mention"/>
    <w:basedOn w:val="DefaultParagraphFont"/>
    <w:uiPriority w:val="99"/>
    <w:semiHidden/>
    <w:unhideWhenUsed/>
    <w:rsid w:val="00225704"/>
    <w:rPr>
      <w:color w:val="605E5C"/>
      <w:shd w:val="clear" w:color="auto" w:fill="E1DFDD"/>
    </w:rPr>
  </w:style>
  <w:style w:type="paragraph" w:styleId="Header">
    <w:name w:val="header"/>
    <w:basedOn w:val="Normal"/>
    <w:link w:val="HeaderChar"/>
    <w:uiPriority w:val="99"/>
    <w:unhideWhenUsed/>
    <w:rsid w:val="000F2188"/>
    <w:pPr>
      <w:tabs>
        <w:tab w:val="center" w:pos="4513"/>
        <w:tab w:val="right" w:pos="9026"/>
      </w:tabs>
      <w:spacing w:after="0" w:line="240" w:lineRule="auto"/>
    </w:pPr>
  </w:style>
  <w:style w:type="character" w:customStyle="1" w:styleId="HeaderChar">
    <w:name w:val="Header Char"/>
    <w:basedOn w:val="DefaultParagraphFont"/>
    <w:link w:val="Header"/>
    <w:uiPriority w:val="99"/>
    <w:rsid w:val="000F2188"/>
  </w:style>
  <w:style w:type="paragraph" w:styleId="Footer">
    <w:name w:val="footer"/>
    <w:basedOn w:val="Normal"/>
    <w:link w:val="FooterChar"/>
    <w:uiPriority w:val="99"/>
    <w:unhideWhenUsed/>
    <w:rsid w:val="000F2188"/>
    <w:pPr>
      <w:tabs>
        <w:tab w:val="center" w:pos="4513"/>
        <w:tab w:val="right" w:pos="9026"/>
      </w:tabs>
      <w:spacing w:after="0" w:line="240" w:lineRule="auto"/>
    </w:pPr>
  </w:style>
  <w:style w:type="character" w:customStyle="1" w:styleId="FooterChar">
    <w:name w:val="Footer Char"/>
    <w:basedOn w:val="DefaultParagraphFont"/>
    <w:link w:val="Footer"/>
    <w:uiPriority w:val="99"/>
    <w:rsid w:val="000F2188"/>
  </w:style>
  <w:style w:type="paragraph" w:styleId="Revision">
    <w:name w:val="Revision"/>
    <w:hidden/>
    <w:uiPriority w:val="99"/>
    <w:semiHidden/>
    <w:rsid w:val="001D3933"/>
    <w:pPr>
      <w:spacing w:after="0" w:line="240" w:lineRule="auto"/>
    </w:pPr>
  </w:style>
  <w:style w:type="character" w:styleId="FollowedHyperlink">
    <w:name w:val="FollowedHyperlink"/>
    <w:basedOn w:val="DefaultParagraphFont"/>
    <w:uiPriority w:val="99"/>
    <w:semiHidden/>
    <w:unhideWhenUsed/>
    <w:rsid w:val="00985543"/>
    <w:rPr>
      <w:color w:val="824C11" w:themeColor="followedHyperlink"/>
      <w:u w:val="single"/>
    </w:rPr>
  </w:style>
  <w:style w:type="table" w:styleId="GridTable5Dark-Accent1">
    <w:name w:val="Grid Table 5 Dark Accent 1"/>
    <w:basedOn w:val="TableNormal"/>
    <w:uiPriority w:val="50"/>
    <w:rsid w:val="00AE5B5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BEA"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39791"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39791"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39791"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39791" w:themeFill="accent1"/>
      </w:tcPr>
    </w:tblStylePr>
    <w:tblStylePr w:type="band1Vert">
      <w:tblPr/>
      <w:tcPr>
        <w:shd w:val="clear" w:color="auto" w:fill="B7D7D4" w:themeFill="accent1" w:themeFillTint="66"/>
      </w:tcPr>
    </w:tblStylePr>
    <w:tblStylePr w:type="band1Horz">
      <w:tblPr/>
      <w:tcPr>
        <w:shd w:val="clear" w:color="auto" w:fill="B7D7D4" w:themeFill="accent1" w:themeFillTint="66"/>
      </w:tcPr>
    </w:tblStylePr>
  </w:style>
  <w:style w:type="character" w:styleId="BookTitle">
    <w:name w:val="Book Title"/>
    <w:basedOn w:val="DefaultParagraphFont"/>
    <w:uiPriority w:val="33"/>
    <w:qFormat/>
    <w:rsid w:val="00FC5F2B"/>
    <w:rPr>
      <w:b/>
      <w:bCs/>
      <w:i/>
      <w:iCs/>
      <w:spacing w:val="5"/>
    </w:rPr>
  </w:style>
  <w:style w:type="paragraph" w:styleId="Caption">
    <w:name w:val="caption"/>
    <w:basedOn w:val="Normal"/>
    <w:next w:val="Normal"/>
    <w:uiPriority w:val="35"/>
    <w:unhideWhenUsed/>
    <w:qFormat/>
    <w:rsid w:val="00FC5F2B"/>
    <w:pPr>
      <w:spacing w:after="200" w:line="240" w:lineRule="auto"/>
    </w:pPr>
    <w:rPr>
      <w:i/>
      <w:iCs/>
      <w:color w:val="212121" w:themeColor="text2"/>
      <w:sz w:val="18"/>
      <w:szCs w:val="18"/>
    </w:rPr>
  </w:style>
  <w:style w:type="character" w:styleId="Emphasis">
    <w:name w:val="Emphasis"/>
    <w:basedOn w:val="DefaultParagraphFont"/>
    <w:uiPriority w:val="20"/>
    <w:qFormat/>
    <w:rsid w:val="00FC5F2B"/>
    <w:rPr>
      <w:i/>
      <w:iCs/>
    </w:rPr>
  </w:style>
  <w:style w:type="paragraph" w:styleId="NoSpacing">
    <w:name w:val="No Spacing"/>
    <w:uiPriority w:val="1"/>
    <w:qFormat/>
    <w:rsid w:val="00FC5F2B"/>
    <w:pPr>
      <w:spacing w:after="0" w:line="240" w:lineRule="auto"/>
    </w:pPr>
  </w:style>
  <w:style w:type="character" w:styleId="Strong">
    <w:name w:val="Strong"/>
    <w:basedOn w:val="DefaultParagraphFont"/>
    <w:uiPriority w:val="22"/>
    <w:qFormat/>
    <w:rsid w:val="00FC5F2B"/>
    <w:rPr>
      <w:b/>
      <w:bCs/>
    </w:rPr>
  </w:style>
  <w:style w:type="character" w:styleId="SubtleEmphasis">
    <w:name w:val="Subtle Emphasis"/>
    <w:basedOn w:val="DefaultParagraphFont"/>
    <w:uiPriority w:val="19"/>
    <w:qFormat/>
    <w:rsid w:val="00FC5F2B"/>
    <w:rPr>
      <w:i/>
      <w:iCs/>
      <w:color w:val="404040" w:themeColor="text1" w:themeTint="BF"/>
    </w:rPr>
  </w:style>
  <w:style w:type="character" w:styleId="SubtleReference">
    <w:name w:val="Subtle Reference"/>
    <w:basedOn w:val="DefaultParagraphFont"/>
    <w:uiPriority w:val="31"/>
    <w:qFormat/>
    <w:rsid w:val="00FC5F2B"/>
    <w:rPr>
      <w:smallCaps/>
      <w:color w:val="5A5A5A" w:themeColor="text1" w:themeTint="A5"/>
    </w:rPr>
  </w:style>
  <w:style w:type="paragraph" w:styleId="TOCHeading">
    <w:name w:val="TOC Heading"/>
    <w:basedOn w:val="Heading1"/>
    <w:next w:val="Normal"/>
    <w:uiPriority w:val="39"/>
    <w:semiHidden/>
    <w:unhideWhenUsed/>
    <w:qFormat/>
    <w:rsid w:val="00FC5F2B"/>
    <w:pPr>
      <w:spacing w:before="240" w:after="0"/>
      <w:outlineLvl w:val="9"/>
    </w:pPr>
    <w:rPr>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footnotes.xml.rels><?xml version="1.0" encoding="UTF-8" standalone="yes"?>
<Relationships xmlns="http://schemas.openxmlformats.org/package/2006/relationships"><Relationship Id="rId8" Type="http://schemas.openxmlformats.org/officeDocument/2006/relationships/hyperlink" Target="https://www.wakefield.gov.uk/planning/planning-policy/information-and-monitoring/strategic-flood-risk-assessment-2016" TargetMode="External"/><Relationship Id="rId13" Type="http://schemas.openxmlformats.org/officeDocument/2006/relationships/hyperlink" Target="https://www.gov.uk/government/publications/hydrogen-transport-and-storage-networks-pathway" TargetMode="External"/><Relationship Id="rId18" Type="http://schemas.openxmlformats.org/officeDocument/2006/relationships/hyperlink" Target="https://www.gov.uk/government/publications/business-continuity-management-for-fuel-shortages" TargetMode="External"/><Relationship Id="rId3" Type="http://schemas.openxmlformats.org/officeDocument/2006/relationships/hyperlink" Target="https://planning.bradford.gov.uk/online-applications/applicationDetails.do?activeTab=documents&amp;keyVal=S5IHDQDHJW700" TargetMode="External"/><Relationship Id="rId7" Type="http://schemas.openxmlformats.org/officeDocument/2006/relationships/hyperlink" Target="https://www.leeds.gov.uk/flooding/flood-risk-management-strategy" TargetMode="External"/><Relationship Id="rId12" Type="http://schemas.openxmlformats.org/officeDocument/2006/relationships/hyperlink" Target="https://new.calderdale.gov.uk/sites/default/files/2023-04/Calderdale-Transport-Strategy.pdf" TargetMode="External"/><Relationship Id="rId17" Type="http://schemas.openxmlformats.org/officeDocument/2006/relationships/hyperlink" Target="https://www.westyorkshireprepared.org.uk/wp-content/uploads/2025/10/3806-Community-Risk-Register-DIGITAL-FINAL-1.pdf" TargetMode="External"/><Relationship Id="rId2" Type="http://schemas.openxmlformats.org/officeDocument/2006/relationships/hyperlink" Target="https://www.theccc.org.uk/publication/a-well-adapted-uk/" TargetMode="External"/><Relationship Id="rId16" Type="http://schemas.openxmlformats.org/officeDocument/2006/relationships/hyperlink" Target="https://www.westyorkshireprepared.org.uk/2021/09/27/fuel-supply-response-from-west-yorkshire-frontline-services/" TargetMode="External"/><Relationship Id="rId1" Type="http://schemas.openxmlformats.org/officeDocument/2006/relationships/hyperlink" Target="https://www.ukclimaterisk.org/publications/technical-report-ccra4-ia/chapter-6/" TargetMode="External"/><Relationship Id="rId6" Type="http://schemas.openxmlformats.org/officeDocument/2006/relationships/hyperlink" Target="https://calderdale-consult.objective.co.uk/kse/event/38086" TargetMode="External"/><Relationship Id="rId11" Type="http://schemas.openxmlformats.org/officeDocument/2006/relationships/hyperlink" Target="https://northerngasnetworks.ams3.digitaloceanspaces.com/wordpress/wp-content/uploads/2024/12/19094949/NGN-CCAR-Round-4-Report_Final.pdf" TargetMode="External"/><Relationship Id="rId5" Type="http://schemas.openxmlformats.org/officeDocument/2006/relationships/hyperlink" Target="https://www.reports.esriuk.com/view-report/b8eb3cee8f764147a2cfcd69cf36238f/E47000003" TargetMode="External"/><Relationship Id="rId15" Type="http://schemas.openxmlformats.org/officeDocument/2006/relationships/hyperlink" Target="https://www.gov.uk/government/publications/energy-emergency-plans-priority-fuel-allocation" TargetMode="External"/><Relationship Id="rId10" Type="http://schemas.openxmlformats.org/officeDocument/2006/relationships/hyperlink" Target="https://www.kirklees.gov.uk/beta/flooding-and-drainage/pdf/local-flood-risk-management-full-strategy.pdf" TargetMode="External"/><Relationship Id="rId19" Type="http://schemas.openxmlformats.org/officeDocument/2006/relationships/hyperlink" Target="https://www.westyorks-ca.gov.uk/place/environment-and-regeneration/climate/climate-and-environment-plan/" TargetMode="External"/><Relationship Id="rId4" Type="http://schemas.openxmlformats.org/officeDocument/2006/relationships/hyperlink" Target="https://www.westyorks-ca.gov.uk/place/environment-and-regeneration/climate/climate-and-environment-plan/" TargetMode="External"/><Relationship Id="rId9" Type="http://schemas.openxmlformats.org/officeDocument/2006/relationships/hyperlink" Target="https://www.bradford.gov.uk/media/2eefmtrv/2023-appendix-a-policy-and-flood-risk.pdf" TargetMode="External"/><Relationship Id="rId14" Type="http://schemas.openxmlformats.org/officeDocument/2006/relationships/hyperlink" Target="https://www.ofgem.gov.uk/sites/default/files/2025-04/Ofgem-climate-resilience-report-ARP4.pdf" TargetMode="External"/></Relationships>
</file>

<file path=word/theme/theme1.xml><?xml version="1.0" encoding="utf-8"?>
<a:theme xmlns:a="http://schemas.openxmlformats.org/drawingml/2006/main" name="Office Theme">
  <a:themeElements>
    <a:clrScheme name="CAG 2025">
      <a:dk1>
        <a:sysClr val="windowText" lastClr="000000"/>
      </a:dk1>
      <a:lt1>
        <a:sysClr val="window" lastClr="FFFFFF"/>
      </a:lt1>
      <a:dk2>
        <a:srgbClr val="212121"/>
      </a:dk2>
      <a:lt2>
        <a:srgbClr val="E7E6E6"/>
      </a:lt2>
      <a:accent1>
        <a:srgbClr val="539791"/>
      </a:accent1>
      <a:accent2>
        <a:srgbClr val="E69742"/>
      </a:accent2>
      <a:accent3>
        <a:srgbClr val="164146"/>
      </a:accent3>
      <a:accent4>
        <a:srgbClr val="424342"/>
      </a:accent4>
      <a:accent5>
        <a:srgbClr val="537B97"/>
      </a:accent5>
      <a:accent6>
        <a:srgbClr val="975359"/>
      </a:accent6>
      <a:hlink>
        <a:srgbClr val="824C11"/>
      </a:hlink>
      <a:folHlink>
        <a:srgbClr val="824C11"/>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A93B50C6037BE48BD2AB339F90B25E3" ma:contentTypeVersion="11" ma:contentTypeDescription="Create a new document." ma:contentTypeScope="" ma:versionID="aec01fcd30721544e98749c75e815cf4">
  <xsd:schema xmlns:xsd="http://www.w3.org/2001/XMLSchema" xmlns:xs="http://www.w3.org/2001/XMLSchema" xmlns:p="http://schemas.microsoft.com/office/2006/metadata/properties" xmlns:ns2="e13dd191-148c-44a8-9e0e-8ae84cba73b8" xmlns:ns3="3f181f26-e555-4901-bc2a-e7ed5df31f9c" targetNamespace="http://schemas.microsoft.com/office/2006/metadata/properties" ma:root="true" ma:fieldsID="b92e77adecfcaac24dbc1f5eeeed0c68" ns2:_="" ns3:_="">
    <xsd:import namespace="e13dd191-148c-44a8-9e0e-8ae84cba73b8"/>
    <xsd:import namespace="3f181f26-e555-4901-bc2a-e7ed5df31f9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3dd191-148c-44a8-9e0e-8ae84cba73b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057b688-5847-4505-b4c4-9f7756de733e"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f181f26-e555-4901-bc2a-e7ed5df31f9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59d0c66-cc99-4dc3-8999-7d7501a19551}" ma:internalName="TaxCatchAll" ma:showField="CatchAllData" ma:web="3f181f26-e555-4901-bc2a-e7ed5df31f9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13dd191-148c-44a8-9e0e-8ae84cba73b8">
      <Terms xmlns="http://schemas.microsoft.com/office/infopath/2007/PartnerControls"/>
    </lcf76f155ced4ddcb4097134ff3c332f>
    <TaxCatchAll xmlns="3f181f26-e555-4901-bc2a-e7ed5df31f9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C47AB1-861B-4D82-A774-65D3B2D53E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3dd191-148c-44a8-9e0e-8ae84cba73b8"/>
    <ds:schemaRef ds:uri="3f181f26-e555-4901-bc2a-e7ed5df31f9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3A96E90-AF35-4FB5-9C93-0EE0126075DF}">
  <ds:schemaRefs>
    <ds:schemaRef ds:uri="http://schemas.microsoft.com/office/2006/metadata/properties"/>
    <ds:schemaRef ds:uri="http://schemas.microsoft.com/office/infopath/2007/PartnerControls"/>
    <ds:schemaRef ds:uri="e13dd191-148c-44a8-9e0e-8ae84cba73b8"/>
    <ds:schemaRef ds:uri="3f181f26-e555-4901-bc2a-e7ed5df31f9c"/>
  </ds:schemaRefs>
</ds:datastoreItem>
</file>

<file path=customXml/itemProps3.xml><?xml version="1.0" encoding="utf-8"?>
<ds:datastoreItem xmlns:ds="http://schemas.openxmlformats.org/officeDocument/2006/customXml" ds:itemID="{B3F0AB5A-1132-4ECC-9BD2-2C5A36718428}">
  <ds:schemaRefs>
    <ds:schemaRef ds:uri="http://schemas.microsoft.com/sharepoint/v3/contenttype/forms"/>
  </ds:schemaRefs>
</ds:datastoreItem>
</file>

<file path=customXml/itemProps4.xml><?xml version="1.0" encoding="utf-8"?>
<ds:datastoreItem xmlns:ds="http://schemas.openxmlformats.org/officeDocument/2006/customXml" ds:itemID="{7CA6ACB7-1C98-46B3-AD5C-CF3E9C1114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1928</Words>
  <Characters>10995</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Document</vt:lpstr>
    </vt:vector>
  </TitlesOfParts>
  <Company/>
  <LinksUpToDate>false</LinksUpToDate>
  <CharactersWithSpaces>12898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dc:title>
  <dc:subject/>
  <dc:creator>dm@cagconsult.co.uk</dc:creator>
  <cp:keywords/>
  <cp:lastModifiedBy>Derek Morgan</cp:lastModifiedBy>
  <cp:revision>33</cp:revision>
  <dcterms:created xsi:type="dcterms:W3CDTF">2026-09-30T17:26:00Z</dcterms:created>
  <dcterms:modified xsi:type="dcterms:W3CDTF">2026-10-08T15:39:00Z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0x0101005A93B50C6037BE48BD2AB339F90B25E3</vt:lpwstr>
  </property>
  <property fmtid="{D5CDD505-2E9C-101B-9397-08002B2CF9AE}" pid="3" name="docLang">
    <vt:lpwstr>en</vt:lpwstr>
  </property>
  <property fmtid="{D5CDD505-2E9C-101B-9397-08002B2CF9AE}" pid="4" name="MediaServiceImageTags">
    <vt:lpwstr/>
  </property>
</Properties>
</file>