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C199C5" w14:textId="48B435F2" w:rsidR="00813309" w:rsidRPr="00350368" w:rsidRDefault="00813309" w:rsidP="00813309">
      <w:pPr>
        <w:pStyle w:val="Heading1"/>
      </w:pPr>
      <w:r w:rsidRPr="00350368">
        <w:t>I7: Risks to aviation and maritime transport systems for West Yorkshire</w:t>
      </w:r>
    </w:p>
    <w:p w14:paraId="20CFA776" w14:textId="5734DF46" w:rsidR="00770BE9" w:rsidRDefault="00770BE9" w:rsidP="00813309">
      <w:pPr>
        <w:pStyle w:val="Heading1"/>
      </w:pPr>
      <w:r w:rsidRPr="00350368">
        <w:t>Summary vulnerability assessment</w:t>
      </w:r>
    </w:p>
    <w:p w14:paraId="5526DF13" w14:textId="77777777" w:rsidR="000C684A" w:rsidRPr="000C684A" w:rsidRDefault="000C684A" w:rsidP="000C684A">
      <w:pPr>
        <w:rPr>
          <w:lang w:val="en-GB" w:eastAsia="en-US"/>
        </w:rPr>
      </w:pPr>
      <w:r w:rsidRPr="000C684A">
        <w:rPr>
          <w:lang w:val="en-GB" w:eastAsia="en-US"/>
        </w:rPr>
        <w:t>This report forms part of the West Yorkshire Combined Authority Climate Risk and Vulnerability Assessment and examines risks to aviation and maritime transport systems from climate change.</w:t>
      </w:r>
    </w:p>
    <w:p w14:paraId="4F48B5BE" w14:textId="77777777" w:rsidR="000C684A" w:rsidRPr="000C684A" w:rsidRDefault="000C684A" w:rsidP="000C684A">
      <w:pPr>
        <w:rPr>
          <w:lang w:val="en-GB" w:eastAsia="en-US"/>
        </w:rPr>
      </w:pPr>
      <w:r w:rsidRPr="000C684A">
        <w:rPr>
          <w:lang w:val="en-GB" w:eastAsia="en-US"/>
        </w:rPr>
        <w:t>West Yorkshire’s direct exposure is concentrated at Leeds Bradford Airport and on inland waterways, including the Calder and Hebble Navigation and the Aire and Calder Navigation. The region has no seaport, although its businesses depend on ports elsewhere in the UK. Flooding, extreme heat, storms and high winds can disrupt airport operations, while flooding, erosion and drought can damage waterways or restrict navigation.</w:t>
      </w:r>
    </w:p>
    <w:p w14:paraId="33710BB2" w14:textId="77777777" w:rsidR="000C684A" w:rsidRPr="000C684A" w:rsidRDefault="000C684A" w:rsidP="000C684A">
      <w:pPr>
        <w:rPr>
          <w:lang w:val="en-GB" w:eastAsia="en-US"/>
        </w:rPr>
      </w:pPr>
      <w:r w:rsidRPr="000C684A">
        <w:rPr>
          <w:lang w:val="en-GB" w:eastAsia="en-US"/>
        </w:rPr>
        <w:t>The region’s exposure score is Low because the airport and waterway assets occupy a limited part of its transport system. Sensitivity is Significant: disruption at these locations could delay travel and freight, affect access to goods and require costly repairs. Storm Ciara’s damage to the Calder and Hebble Navigation shows how a local failure can take years to repair.</w:t>
      </w:r>
    </w:p>
    <w:p w14:paraId="12DA850E" w14:textId="77777777" w:rsidR="000C684A" w:rsidRPr="000C684A" w:rsidRDefault="000C684A" w:rsidP="000C684A">
      <w:pPr>
        <w:rPr>
          <w:lang w:val="en-GB" w:eastAsia="en-US"/>
        </w:rPr>
      </w:pPr>
      <w:r w:rsidRPr="000C684A">
        <w:rPr>
          <w:lang w:val="en-GB" w:eastAsia="en-US"/>
        </w:rPr>
        <w:t>National transport adaptation policy, flood-risk management and emergency-planning arrangements provide Significant adaptive capacity. However, published evidence does not show how well these measures protect the airport, waterways or port-dependent supply chains. Gaps also remain in assessing linked infrastructure and the effects of disruption on West Yorkshire.</w:t>
      </w:r>
    </w:p>
    <w:p w14:paraId="76145AA4" w14:textId="3B9D569B" w:rsidR="003F0572" w:rsidRPr="003F0572" w:rsidRDefault="000C684A" w:rsidP="003F0572">
      <w:pPr>
        <w:rPr>
          <w:lang w:val="en-GB" w:eastAsia="en-US"/>
        </w:rPr>
      </w:pPr>
      <w:r w:rsidRPr="000C684A">
        <w:rPr>
          <w:lang w:val="en-GB" w:eastAsia="en-US"/>
        </w:rPr>
        <w:t xml:space="preserve">Taken together, these findings give aviation and maritime transport systems a </w:t>
      </w:r>
      <w:r w:rsidRPr="00561D0F">
        <w:rPr>
          <w:b/>
          <w:bCs/>
          <w:lang w:val="en-GB" w:eastAsia="en-US"/>
        </w:rPr>
        <w:t>Low overall vulnerability score</w:t>
      </w:r>
      <w:r w:rsidR="000C4440" w:rsidRPr="003B7D3F">
        <w:rPr>
          <w:lang w:val="en-GB" w:eastAsia="en-US"/>
        </w:rPr>
        <w:t>.</w:t>
      </w:r>
      <w:r w:rsidR="000C4440" w:rsidRPr="003B7D3F">
        <w:rPr>
          <w:rStyle w:val="FootnoteReference"/>
          <w:lang w:val="en-GB" w:eastAsia="en-US"/>
        </w:rPr>
        <w:footnoteReference w:id="1"/>
      </w:r>
    </w:p>
    <w:p w14:paraId="7C8D0D8C" w14:textId="704EFB3E" w:rsidR="00ED13BF" w:rsidRPr="00350368" w:rsidRDefault="00E42D52" w:rsidP="00770BE9">
      <w:pPr>
        <w:rPr>
          <w:lang w:val="en-GB" w:eastAsia="en-US"/>
        </w:rPr>
      </w:pPr>
      <w:r w:rsidRPr="00E42D52">
        <w:rPr>
          <w:noProof/>
          <w:lang w:eastAsia="en-US"/>
        </w:rPr>
        <mc:AlternateContent>
          <mc:Choice Requires="wpg">
            <w:drawing>
              <wp:inline distT="0" distB="0" distL="0" distR="0" wp14:anchorId="21097E26" wp14:editId="14BC52E6">
                <wp:extent cx="5555226" cy="1218610"/>
                <wp:effectExtent l="0" t="0" r="26670" b="19685"/>
                <wp:docPr id="141" name="Group 140">
                  <a:extLst xmlns:a="http://schemas.openxmlformats.org/drawingml/2006/main">
                    <a:ext uri="{FF2B5EF4-FFF2-40B4-BE49-F238E27FC236}">
                      <a16:creationId xmlns:a16="http://schemas.microsoft.com/office/drawing/2014/main" id="{21D919A1-2E6A-758A-49DF-33F8522B8591}"/>
                    </a:ext>
                  </a:extLst>
                </wp:docPr>
                <wp:cNvGraphicFramePr/>
                <a:graphic xmlns:a="http://schemas.openxmlformats.org/drawingml/2006/main">
                  <a:graphicData uri="http://schemas.microsoft.com/office/word/2010/wordprocessingGroup">
                    <wpg:wgp>
                      <wpg:cNvGrpSpPr/>
                      <wpg:grpSpPr>
                        <a:xfrm>
                          <a:off x="0" y="0"/>
                          <a:ext cx="5555226" cy="1218610"/>
                          <a:chOff x="0" y="0"/>
                          <a:chExt cx="5555226" cy="1218610"/>
                        </a:xfrm>
                      </wpg:grpSpPr>
                      <wps:wsp>
                        <wps:cNvPr id="1360250130" name="Rectangle 1360250130">
                          <a:extLst>
                            <a:ext uri="{FF2B5EF4-FFF2-40B4-BE49-F238E27FC236}">
                              <a16:creationId xmlns:a16="http://schemas.microsoft.com/office/drawing/2014/main" id="{68E75544-E3FB-1886-8291-D68CB18795C9}"/>
                            </a:ext>
                          </a:extLst>
                        </wps:cNvPr>
                        <wps:cNvSpPr/>
                        <wps:spPr>
                          <a:xfrm>
                            <a:off x="0" y="0"/>
                            <a:ext cx="5555226" cy="1218610"/>
                          </a:xfrm>
                          <a:prstGeom prst="rect">
                            <a:avLst/>
                          </a:prstGeom>
                          <a:solidFill>
                            <a:srgbClr val="DBEBEA"/>
                          </a:solidFill>
                          <a:ln w="3175"/>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137114246" name="Rectangle 1137114246">
                          <a:extLst>
                            <a:ext uri="{FF2B5EF4-FFF2-40B4-BE49-F238E27FC236}">
                              <a16:creationId xmlns:a16="http://schemas.microsoft.com/office/drawing/2014/main" id="{0B016703-3F8B-EA52-5E93-13E56ADB07EB}"/>
                            </a:ext>
                          </a:extLst>
                        </wps:cNvPr>
                        <wps:cNvSpPr/>
                        <wps:spPr>
                          <a:xfrm>
                            <a:off x="118713" y="610292"/>
                            <a:ext cx="990773" cy="515398"/>
                          </a:xfrm>
                          <a:prstGeom prst="rect">
                            <a:avLst/>
                          </a:prstGeom>
                          <a:solidFill>
                            <a:srgbClr val="92D050"/>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5C02C4B4" w14:textId="77777777" w:rsidR="00E42D52" w:rsidRDefault="00E42D52" w:rsidP="00E42D52">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0</w:t>
                              </w:r>
                            </w:p>
                            <w:p w14:paraId="71410CC6" w14:textId="77777777" w:rsidR="00E42D52" w:rsidRDefault="00E42D52" w:rsidP="00E42D52">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Low</w:t>
                              </w:r>
                            </w:p>
                          </w:txbxContent>
                        </wps:txbx>
                        <wps:bodyPr spcFirstLastPara="0" vert="horz" wrap="square" lIns="72082" tIns="72082" rIns="72082" bIns="72082" numCol="1" spcCol="1270" anchor="ctr" anchorCtr="0">
                          <a:noAutofit/>
                        </wps:bodyPr>
                      </wps:wsp>
                      <wps:wsp>
                        <wps:cNvPr id="1193608736" name="Freeform: Shape 1193608736">
                          <a:extLst>
                            <a:ext uri="{FF2B5EF4-FFF2-40B4-BE49-F238E27FC236}">
                              <a16:creationId xmlns:a16="http://schemas.microsoft.com/office/drawing/2014/main" id="{709663C3-07D2-6C34-59B1-C41506107F6E}"/>
                            </a:ext>
                          </a:extLst>
                        </wps:cNvPr>
                        <wps:cNvSpPr/>
                        <wps:spPr>
                          <a:xfrm>
                            <a:off x="1109171" y="424754"/>
                            <a:ext cx="462404" cy="462404"/>
                          </a:xfrm>
                          <a:custGeom>
                            <a:avLst/>
                            <a:gdLst>
                              <a:gd name="csX0" fmla="*/ 85519 w 645180"/>
                              <a:gd name="csY0" fmla="*/ 246717 h 645180"/>
                              <a:gd name="csX1" fmla="*/ 246717 w 645180"/>
                              <a:gd name="csY1" fmla="*/ 246717 h 645180"/>
                              <a:gd name="csX2" fmla="*/ 246717 w 645180"/>
                              <a:gd name="csY2" fmla="*/ 85519 h 645180"/>
                              <a:gd name="csX3" fmla="*/ 398463 w 645180"/>
                              <a:gd name="csY3" fmla="*/ 85519 h 645180"/>
                              <a:gd name="csX4" fmla="*/ 398463 w 645180"/>
                              <a:gd name="csY4" fmla="*/ 246717 h 645180"/>
                              <a:gd name="csX5" fmla="*/ 559661 w 645180"/>
                              <a:gd name="csY5" fmla="*/ 246717 h 645180"/>
                              <a:gd name="csX6" fmla="*/ 559661 w 645180"/>
                              <a:gd name="csY6" fmla="*/ 398463 h 645180"/>
                              <a:gd name="csX7" fmla="*/ 398463 w 645180"/>
                              <a:gd name="csY7" fmla="*/ 398463 h 645180"/>
                              <a:gd name="csX8" fmla="*/ 398463 w 645180"/>
                              <a:gd name="csY8" fmla="*/ 559661 h 645180"/>
                              <a:gd name="csX9" fmla="*/ 246717 w 645180"/>
                              <a:gd name="csY9" fmla="*/ 559661 h 645180"/>
                              <a:gd name="csX10" fmla="*/ 246717 w 645180"/>
                              <a:gd name="csY10" fmla="*/ 398463 h 645180"/>
                              <a:gd name="csX11" fmla="*/ 85519 w 645180"/>
                              <a:gd name="csY11" fmla="*/ 398463 h 645180"/>
                              <a:gd name="csX12" fmla="*/ 85519 w 645180"/>
                              <a:gd name="csY12" fmla="*/ 246717 h 64518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645180" h="645180">
                                <a:moveTo>
                                  <a:pt x="85519" y="246717"/>
                                </a:moveTo>
                                <a:lnTo>
                                  <a:pt x="246717" y="246717"/>
                                </a:lnTo>
                                <a:lnTo>
                                  <a:pt x="246717" y="85519"/>
                                </a:lnTo>
                                <a:lnTo>
                                  <a:pt x="398463" y="85519"/>
                                </a:lnTo>
                                <a:lnTo>
                                  <a:pt x="398463" y="246717"/>
                                </a:lnTo>
                                <a:lnTo>
                                  <a:pt x="559661" y="246717"/>
                                </a:lnTo>
                                <a:lnTo>
                                  <a:pt x="559661" y="398463"/>
                                </a:lnTo>
                                <a:lnTo>
                                  <a:pt x="398463" y="398463"/>
                                </a:lnTo>
                                <a:lnTo>
                                  <a:pt x="398463" y="559661"/>
                                </a:lnTo>
                                <a:lnTo>
                                  <a:pt x="246717" y="559661"/>
                                </a:lnTo>
                                <a:lnTo>
                                  <a:pt x="246717" y="398463"/>
                                </a:lnTo>
                                <a:lnTo>
                                  <a:pt x="85519" y="398463"/>
                                </a:lnTo>
                                <a:lnTo>
                                  <a:pt x="85519" y="246717"/>
                                </a:lnTo>
                                <a:close/>
                              </a:path>
                            </a:pathLst>
                          </a:custGeom>
                          <a:ln w="3175"/>
                        </wps:spPr>
                        <wps:style>
                          <a:lnRef idx="0">
                            <a:schemeClr val="accent1">
                              <a:tint val="60000"/>
                              <a:hueOff val="0"/>
                              <a:satOff val="0"/>
                              <a:lumOff val="0"/>
                              <a:alphaOff val="0"/>
                            </a:schemeClr>
                          </a:lnRef>
                          <a:fillRef idx="1">
                            <a:schemeClr val="accent1">
                              <a:tint val="60000"/>
                              <a:hueOff val="0"/>
                              <a:satOff val="0"/>
                              <a:lumOff val="0"/>
                              <a:alphaOff val="0"/>
                            </a:schemeClr>
                          </a:fillRef>
                          <a:effectRef idx="0">
                            <a:schemeClr val="accent1">
                              <a:tint val="60000"/>
                              <a:hueOff val="0"/>
                              <a:satOff val="0"/>
                              <a:lumOff val="0"/>
                              <a:alphaOff val="0"/>
                            </a:schemeClr>
                          </a:effectRef>
                          <a:fontRef idx="minor">
                            <a:schemeClr val="lt1"/>
                          </a:fontRef>
                        </wps:style>
                        <wps:bodyPr spcFirstLastPara="0" vert="horz" wrap="square" lIns="85519" tIns="246717" rIns="85519" bIns="246717" numCol="1" spcCol="1270" anchor="ctr" anchorCtr="0">
                          <a:noAutofit/>
                        </wps:bodyPr>
                      </wps:wsp>
                      <wps:wsp>
                        <wps:cNvPr id="1396954009" name="Rectangle 1396954009">
                          <a:extLst>
                            <a:ext uri="{FF2B5EF4-FFF2-40B4-BE49-F238E27FC236}">
                              <a16:creationId xmlns:a16="http://schemas.microsoft.com/office/drawing/2014/main" id="{8E5E4C04-0CDE-6B02-F7E2-737491947DE5}"/>
                            </a:ext>
                          </a:extLst>
                        </wps:cNvPr>
                        <wps:cNvSpPr/>
                        <wps:spPr>
                          <a:xfrm>
                            <a:off x="1571260" y="610292"/>
                            <a:ext cx="990773" cy="515398"/>
                          </a:xfrm>
                          <a:prstGeom prst="rect">
                            <a:avLst/>
                          </a:prstGeom>
                          <a:solidFill>
                            <a:srgbClr val="FF6600"/>
                          </a:solidFill>
                          <a:ln w="3175">
                            <a:solidFill>
                              <a:schemeClr val="bg1"/>
                            </a:solidFill>
                          </a:ln>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txbx>
                          <w:txbxContent>
                            <w:p w14:paraId="6793EA89" w14:textId="77777777" w:rsidR="00E42D52" w:rsidRDefault="00E42D52" w:rsidP="00E42D52">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 xml:space="preserve">2 </w:t>
                              </w:r>
                            </w:p>
                            <w:p w14:paraId="3099651C" w14:textId="77777777" w:rsidR="00E42D52" w:rsidRDefault="00E42D52" w:rsidP="00E42D52">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Significant</w:t>
                              </w:r>
                            </w:p>
                          </w:txbxContent>
                        </wps:txbx>
                        <wps:bodyPr spcFirstLastPara="0" vert="horz" wrap="square" lIns="72082" tIns="72082" rIns="72082" bIns="72082" numCol="1" spcCol="1270" anchor="ctr" anchorCtr="0">
                          <a:noAutofit/>
                        </wps:bodyPr>
                      </wps:wsp>
                      <wps:wsp>
                        <wps:cNvPr id="267658114" name="Freeform: Shape 267658114">
                          <a:extLst>
                            <a:ext uri="{FF2B5EF4-FFF2-40B4-BE49-F238E27FC236}">
                              <a16:creationId xmlns:a16="http://schemas.microsoft.com/office/drawing/2014/main" id="{9ED854F9-8254-AB93-E5C4-72F9F6E123BC}"/>
                            </a:ext>
                          </a:extLst>
                        </wps:cNvPr>
                        <wps:cNvSpPr/>
                        <wps:spPr>
                          <a:xfrm>
                            <a:off x="2561719" y="424754"/>
                            <a:ext cx="462404" cy="462404"/>
                          </a:xfrm>
                          <a:custGeom>
                            <a:avLst/>
                            <a:gdLst>
                              <a:gd name="csX0" fmla="*/ 85519 w 645180"/>
                              <a:gd name="csY0" fmla="*/ 246717 h 645180"/>
                              <a:gd name="csX1" fmla="*/ 559661 w 645180"/>
                              <a:gd name="csY1" fmla="*/ 246717 h 645180"/>
                              <a:gd name="csX2" fmla="*/ 559661 w 645180"/>
                              <a:gd name="csY2" fmla="*/ 398463 h 645180"/>
                              <a:gd name="csX3" fmla="*/ 85519 w 645180"/>
                              <a:gd name="csY3" fmla="*/ 398463 h 645180"/>
                              <a:gd name="csX4" fmla="*/ 85519 w 645180"/>
                              <a:gd name="csY4" fmla="*/ 246717 h 645180"/>
                            </a:gdLst>
                            <a:ahLst/>
                            <a:cxnLst>
                              <a:cxn ang="0">
                                <a:pos x="csX0" y="csY0"/>
                              </a:cxn>
                              <a:cxn ang="0">
                                <a:pos x="csX1" y="csY1"/>
                              </a:cxn>
                              <a:cxn ang="0">
                                <a:pos x="csX2" y="csY2"/>
                              </a:cxn>
                              <a:cxn ang="0">
                                <a:pos x="csX3" y="csY3"/>
                              </a:cxn>
                              <a:cxn ang="0">
                                <a:pos x="csX4" y="csY4"/>
                              </a:cxn>
                            </a:cxnLst>
                            <a:rect l="l" t="t" r="r" b="b"/>
                            <a:pathLst>
                              <a:path w="645180" h="645180">
                                <a:moveTo>
                                  <a:pt x="85519" y="246717"/>
                                </a:moveTo>
                                <a:lnTo>
                                  <a:pt x="559661" y="246717"/>
                                </a:lnTo>
                                <a:lnTo>
                                  <a:pt x="559661" y="398463"/>
                                </a:lnTo>
                                <a:lnTo>
                                  <a:pt x="85519" y="398463"/>
                                </a:lnTo>
                                <a:lnTo>
                                  <a:pt x="85519" y="246717"/>
                                </a:lnTo>
                                <a:close/>
                              </a:path>
                            </a:pathLst>
                          </a:custGeom>
                          <a:ln w="3175"/>
                        </wps:spPr>
                        <wps:style>
                          <a:lnRef idx="0">
                            <a:schemeClr val="accent1">
                              <a:tint val="60000"/>
                              <a:hueOff val="0"/>
                              <a:satOff val="0"/>
                              <a:lumOff val="0"/>
                              <a:alphaOff val="0"/>
                            </a:schemeClr>
                          </a:lnRef>
                          <a:fillRef idx="1">
                            <a:schemeClr val="accent1">
                              <a:tint val="60000"/>
                              <a:hueOff val="0"/>
                              <a:satOff val="0"/>
                              <a:lumOff val="0"/>
                              <a:alphaOff val="0"/>
                            </a:schemeClr>
                          </a:fillRef>
                          <a:effectRef idx="0">
                            <a:schemeClr val="accent1">
                              <a:tint val="60000"/>
                              <a:hueOff val="0"/>
                              <a:satOff val="0"/>
                              <a:lumOff val="0"/>
                              <a:alphaOff val="0"/>
                            </a:schemeClr>
                          </a:effectRef>
                          <a:fontRef idx="minor">
                            <a:schemeClr val="lt1"/>
                          </a:fontRef>
                        </wps:style>
                        <wps:bodyPr spcFirstLastPara="0" vert="horz" wrap="square" lIns="85519" tIns="246717" rIns="85519" bIns="246717" numCol="1" spcCol="1270" anchor="ctr" anchorCtr="0">
                          <a:noAutofit/>
                        </wps:bodyPr>
                      </wps:wsp>
                      <wps:wsp>
                        <wps:cNvPr id="1925717512" name="Rectangle 1925717512">
                          <a:extLst>
                            <a:ext uri="{FF2B5EF4-FFF2-40B4-BE49-F238E27FC236}">
                              <a16:creationId xmlns:a16="http://schemas.microsoft.com/office/drawing/2014/main" id="{488744DD-02C1-BF0E-5297-E8D317B7CA15}"/>
                            </a:ext>
                          </a:extLst>
                        </wps:cNvPr>
                        <wps:cNvSpPr/>
                        <wps:spPr>
                          <a:xfrm>
                            <a:off x="3023808" y="610292"/>
                            <a:ext cx="990773" cy="515398"/>
                          </a:xfrm>
                          <a:prstGeom prst="rect">
                            <a:avLst/>
                          </a:prstGeom>
                          <a:solidFill>
                            <a:srgbClr val="FFCC66"/>
                          </a:solidFill>
                          <a:ln w="3175">
                            <a:solidFill>
                              <a:schemeClr val="bg1"/>
                            </a:solidFill>
                          </a:ln>
                        </wps:spPr>
                        <wps:style>
                          <a:lnRef idx="3">
                            <a:schemeClr val="lt1"/>
                          </a:lnRef>
                          <a:fillRef idx="1">
                            <a:schemeClr val="accent3"/>
                          </a:fillRef>
                          <a:effectRef idx="1">
                            <a:schemeClr val="accent3"/>
                          </a:effectRef>
                          <a:fontRef idx="minor">
                            <a:schemeClr val="lt1"/>
                          </a:fontRef>
                        </wps:style>
                        <wps:txbx>
                          <w:txbxContent>
                            <w:p w14:paraId="07C8A6C3" w14:textId="77777777" w:rsidR="00E42D52" w:rsidRDefault="00E42D52" w:rsidP="00E42D52">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 xml:space="preserve">2 </w:t>
                              </w:r>
                            </w:p>
                            <w:p w14:paraId="37B2342C" w14:textId="77777777" w:rsidR="00E42D52" w:rsidRDefault="00E42D52" w:rsidP="00E42D52">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Significant</w:t>
                              </w:r>
                            </w:p>
                          </w:txbxContent>
                        </wps:txbx>
                        <wps:bodyPr spcFirstLastPara="0" vert="horz" wrap="square" lIns="72082" tIns="72082" rIns="72082" bIns="72082" numCol="1" spcCol="1270" anchor="ctr" anchorCtr="0">
                          <a:noAutofit/>
                        </wps:bodyPr>
                      </wps:wsp>
                      <wps:wsp>
                        <wps:cNvPr id="1680189979" name="Freeform: Shape 1680189979">
                          <a:extLst>
                            <a:ext uri="{FF2B5EF4-FFF2-40B4-BE49-F238E27FC236}">
                              <a16:creationId xmlns:a16="http://schemas.microsoft.com/office/drawing/2014/main" id="{5A48EB62-46D2-F6A6-458A-A316CEAD2731}"/>
                            </a:ext>
                          </a:extLst>
                        </wps:cNvPr>
                        <wps:cNvSpPr/>
                        <wps:spPr>
                          <a:xfrm>
                            <a:off x="4014266" y="424754"/>
                            <a:ext cx="462404" cy="462404"/>
                          </a:xfrm>
                          <a:custGeom>
                            <a:avLst/>
                            <a:gdLst>
                              <a:gd name="csX0" fmla="*/ 85519 w 645180"/>
                              <a:gd name="csY0" fmla="*/ 132907 h 645180"/>
                              <a:gd name="csX1" fmla="*/ 559661 w 645180"/>
                              <a:gd name="csY1" fmla="*/ 132907 h 645180"/>
                              <a:gd name="csX2" fmla="*/ 559661 w 645180"/>
                              <a:gd name="csY2" fmla="*/ 284653 h 645180"/>
                              <a:gd name="csX3" fmla="*/ 85519 w 645180"/>
                              <a:gd name="csY3" fmla="*/ 284653 h 645180"/>
                              <a:gd name="csX4" fmla="*/ 85519 w 645180"/>
                              <a:gd name="csY4" fmla="*/ 132907 h 645180"/>
                              <a:gd name="csX5" fmla="*/ 85519 w 645180"/>
                              <a:gd name="csY5" fmla="*/ 360527 h 645180"/>
                              <a:gd name="csX6" fmla="*/ 559661 w 645180"/>
                              <a:gd name="csY6" fmla="*/ 360527 h 645180"/>
                              <a:gd name="csX7" fmla="*/ 559661 w 645180"/>
                              <a:gd name="csY7" fmla="*/ 512273 h 645180"/>
                              <a:gd name="csX8" fmla="*/ 85519 w 645180"/>
                              <a:gd name="csY8" fmla="*/ 512273 h 645180"/>
                              <a:gd name="csX9" fmla="*/ 85519 w 645180"/>
                              <a:gd name="csY9" fmla="*/ 360527 h 64518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645180" h="645180">
                                <a:moveTo>
                                  <a:pt x="85519" y="132907"/>
                                </a:moveTo>
                                <a:lnTo>
                                  <a:pt x="559661" y="132907"/>
                                </a:lnTo>
                                <a:lnTo>
                                  <a:pt x="559661" y="284653"/>
                                </a:lnTo>
                                <a:lnTo>
                                  <a:pt x="85519" y="284653"/>
                                </a:lnTo>
                                <a:lnTo>
                                  <a:pt x="85519" y="132907"/>
                                </a:lnTo>
                                <a:close/>
                                <a:moveTo>
                                  <a:pt x="85519" y="360527"/>
                                </a:moveTo>
                                <a:lnTo>
                                  <a:pt x="559661" y="360527"/>
                                </a:lnTo>
                                <a:lnTo>
                                  <a:pt x="559661" y="512273"/>
                                </a:lnTo>
                                <a:lnTo>
                                  <a:pt x="85519" y="512273"/>
                                </a:lnTo>
                                <a:lnTo>
                                  <a:pt x="85519" y="360527"/>
                                </a:lnTo>
                                <a:close/>
                              </a:path>
                            </a:pathLst>
                          </a:custGeom>
                          <a:ln w="3175"/>
                        </wps:spPr>
                        <wps:style>
                          <a:lnRef idx="0">
                            <a:schemeClr val="accent1">
                              <a:tint val="60000"/>
                              <a:hueOff val="0"/>
                              <a:satOff val="0"/>
                              <a:lumOff val="0"/>
                              <a:alphaOff val="0"/>
                            </a:schemeClr>
                          </a:lnRef>
                          <a:fillRef idx="1">
                            <a:schemeClr val="accent1">
                              <a:tint val="60000"/>
                              <a:hueOff val="0"/>
                              <a:satOff val="0"/>
                              <a:lumOff val="0"/>
                              <a:alphaOff val="0"/>
                            </a:schemeClr>
                          </a:fillRef>
                          <a:effectRef idx="0">
                            <a:schemeClr val="accent1">
                              <a:tint val="60000"/>
                              <a:hueOff val="0"/>
                              <a:satOff val="0"/>
                              <a:lumOff val="0"/>
                              <a:alphaOff val="0"/>
                            </a:schemeClr>
                          </a:effectRef>
                          <a:fontRef idx="minor">
                            <a:schemeClr val="lt1"/>
                          </a:fontRef>
                        </wps:style>
                        <wps:bodyPr spcFirstLastPara="0" vert="horz" wrap="square" lIns="85519" tIns="132907" rIns="85519" bIns="132907" numCol="1" spcCol="1270" anchor="ctr" anchorCtr="0">
                          <a:noAutofit/>
                        </wps:bodyPr>
                      </wps:wsp>
                      <wps:wsp>
                        <wps:cNvPr id="1561182537" name="Rectangle 1561182537">
                          <a:extLst>
                            <a:ext uri="{FF2B5EF4-FFF2-40B4-BE49-F238E27FC236}">
                              <a16:creationId xmlns:a16="http://schemas.microsoft.com/office/drawing/2014/main" id="{026B8F0F-D295-43F3-7617-FEB6310DE4FB}"/>
                            </a:ext>
                          </a:extLst>
                        </wps:cNvPr>
                        <wps:cNvSpPr/>
                        <wps:spPr>
                          <a:xfrm>
                            <a:off x="4476354" y="610292"/>
                            <a:ext cx="990382" cy="515398"/>
                          </a:xfrm>
                          <a:prstGeom prst="rect">
                            <a:avLst/>
                          </a:prstGeom>
                          <a:solidFill>
                            <a:srgbClr val="92D050"/>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4A8851B4" w14:textId="77777777" w:rsidR="00E42D52" w:rsidRDefault="00E42D52" w:rsidP="00E42D52">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0</w:t>
                              </w:r>
                            </w:p>
                            <w:p w14:paraId="6AB3386F" w14:textId="77777777" w:rsidR="00E42D52" w:rsidRDefault="00E42D52" w:rsidP="00E42D52">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Low</w:t>
                              </w:r>
                            </w:p>
                          </w:txbxContent>
                        </wps:txbx>
                        <wps:bodyPr spcFirstLastPara="0" vert="horz" wrap="square" lIns="72082" tIns="72082" rIns="72082" bIns="72082" numCol="1" spcCol="1270" anchor="ctr" anchorCtr="0">
                          <a:noAutofit/>
                        </wps:bodyPr>
                      </wps:wsp>
                      <wps:wsp>
                        <wps:cNvPr id="679229244" name="Rectangle 679229244">
                          <a:extLst>
                            <a:ext uri="{FF2B5EF4-FFF2-40B4-BE49-F238E27FC236}">
                              <a16:creationId xmlns:a16="http://schemas.microsoft.com/office/drawing/2014/main" id="{4543B104-C727-4B0F-A9A9-F2CD0C3BCC97}"/>
                            </a:ext>
                          </a:extLst>
                        </wps:cNvPr>
                        <wps:cNvSpPr/>
                        <wps:spPr>
                          <a:xfrm>
                            <a:off x="118713" y="98228"/>
                            <a:ext cx="990773" cy="505276"/>
                          </a:xfrm>
                          <a:prstGeom prst="rect">
                            <a:avLst/>
                          </a:prstGeom>
                          <a:solidFill>
                            <a:srgbClr val="47928D"/>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7888F68D" w14:textId="77777777" w:rsidR="00E42D52" w:rsidRDefault="00E42D52" w:rsidP="00E42D52">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Exposure</w:t>
                              </w:r>
                            </w:p>
                          </w:txbxContent>
                        </wps:txbx>
                        <wps:bodyPr spcFirstLastPara="0" vert="horz" wrap="square" lIns="72082" tIns="72082" rIns="72082" bIns="72082" numCol="1" spcCol="1270" anchor="ctr" anchorCtr="0">
                          <a:noAutofit/>
                        </wps:bodyPr>
                      </wps:wsp>
                      <wps:wsp>
                        <wps:cNvPr id="1618245833" name="Rectangle 1618245833">
                          <a:extLst>
                            <a:ext uri="{FF2B5EF4-FFF2-40B4-BE49-F238E27FC236}">
                              <a16:creationId xmlns:a16="http://schemas.microsoft.com/office/drawing/2014/main" id="{73FE8154-CD13-EBB5-DF9D-0153CC5F3402}"/>
                            </a:ext>
                          </a:extLst>
                        </wps:cNvPr>
                        <wps:cNvSpPr/>
                        <wps:spPr>
                          <a:xfrm>
                            <a:off x="1571260" y="98228"/>
                            <a:ext cx="990773" cy="505276"/>
                          </a:xfrm>
                          <a:prstGeom prst="rect">
                            <a:avLst/>
                          </a:prstGeom>
                          <a:solidFill>
                            <a:srgbClr val="47928D"/>
                          </a:solidFill>
                          <a:ln w="3175">
                            <a:solidFill>
                              <a:schemeClr val="bg1"/>
                            </a:solidFill>
                          </a:ln>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txbx>
                          <w:txbxContent>
                            <w:p w14:paraId="39678592" w14:textId="77777777" w:rsidR="00E42D52" w:rsidRDefault="00E42D52" w:rsidP="00E42D52">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Sensitivity</w:t>
                              </w:r>
                            </w:p>
                          </w:txbxContent>
                        </wps:txbx>
                        <wps:bodyPr spcFirstLastPara="0" vert="horz" wrap="square" lIns="72082" tIns="72082" rIns="72082" bIns="72082" numCol="1" spcCol="1270" anchor="ctr" anchorCtr="0">
                          <a:noAutofit/>
                        </wps:bodyPr>
                      </wps:wsp>
                      <wps:wsp>
                        <wps:cNvPr id="1761561656" name="Rectangle 1761561656">
                          <a:extLst>
                            <a:ext uri="{FF2B5EF4-FFF2-40B4-BE49-F238E27FC236}">
                              <a16:creationId xmlns:a16="http://schemas.microsoft.com/office/drawing/2014/main" id="{BDC0FAC2-A626-5457-4C82-AE6692CF0171}"/>
                            </a:ext>
                          </a:extLst>
                        </wps:cNvPr>
                        <wps:cNvSpPr/>
                        <wps:spPr>
                          <a:xfrm>
                            <a:off x="3023808" y="98228"/>
                            <a:ext cx="990773" cy="505276"/>
                          </a:xfrm>
                          <a:prstGeom prst="rect">
                            <a:avLst/>
                          </a:prstGeom>
                          <a:solidFill>
                            <a:srgbClr val="47928D"/>
                          </a:solidFill>
                          <a:ln w="3175">
                            <a:solidFill>
                              <a:schemeClr val="bg1"/>
                            </a:solidFill>
                          </a:ln>
                        </wps:spPr>
                        <wps:style>
                          <a:lnRef idx="3">
                            <a:schemeClr val="lt1"/>
                          </a:lnRef>
                          <a:fillRef idx="1">
                            <a:schemeClr val="accent3"/>
                          </a:fillRef>
                          <a:effectRef idx="1">
                            <a:schemeClr val="accent3"/>
                          </a:effectRef>
                          <a:fontRef idx="minor">
                            <a:schemeClr val="lt1"/>
                          </a:fontRef>
                        </wps:style>
                        <wps:txbx>
                          <w:txbxContent>
                            <w:p w14:paraId="537BFFBD" w14:textId="77777777" w:rsidR="00E42D52" w:rsidRDefault="00E42D52" w:rsidP="00E42D52">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Adaptive Capacity</w:t>
                              </w:r>
                            </w:p>
                          </w:txbxContent>
                        </wps:txbx>
                        <wps:bodyPr spcFirstLastPara="0" vert="horz" wrap="square" lIns="72082" tIns="72082" rIns="72082" bIns="72082" numCol="1" spcCol="1270" anchor="ctr" anchorCtr="0">
                          <a:noAutofit/>
                        </wps:bodyPr>
                      </wps:wsp>
                      <wps:wsp>
                        <wps:cNvPr id="172744674" name="Rectangle 172744674">
                          <a:extLst>
                            <a:ext uri="{FF2B5EF4-FFF2-40B4-BE49-F238E27FC236}">
                              <a16:creationId xmlns:a16="http://schemas.microsoft.com/office/drawing/2014/main" id="{8EBD6EE0-3500-F516-74E7-69EEFB1C129E}"/>
                            </a:ext>
                          </a:extLst>
                        </wps:cNvPr>
                        <wps:cNvSpPr/>
                        <wps:spPr>
                          <a:xfrm>
                            <a:off x="4476354" y="98228"/>
                            <a:ext cx="990382" cy="505276"/>
                          </a:xfrm>
                          <a:prstGeom prst="rect">
                            <a:avLst/>
                          </a:prstGeom>
                          <a:solidFill>
                            <a:srgbClr val="47928D"/>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570EDD5C" w14:textId="77777777" w:rsidR="00E42D52" w:rsidRDefault="00E42D52" w:rsidP="00E42D52">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Overall Vulnerability</w:t>
                              </w:r>
                            </w:p>
                          </w:txbxContent>
                        </wps:txbx>
                        <wps:bodyPr spcFirstLastPara="0" vert="horz" wrap="square" lIns="72082" tIns="72082" rIns="72082" bIns="72082" numCol="1" spcCol="1270" anchor="ctr" anchorCtr="0">
                          <a:noAutofit/>
                        </wps:bodyPr>
                      </wps:wsp>
                    </wpg:wgp>
                  </a:graphicData>
                </a:graphic>
              </wp:inline>
            </w:drawing>
          </mc:Choice>
          <mc:Fallback>
            <w:pict>
              <v:group w14:anchorId="21097E26" id="Group 140" o:spid="_x0000_s1026" style="width:437.4pt;height:95.95pt;mso-position-horizontal-relative:char;mso-position-vertical-relative:line" coordsize="55552,12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">
                <v:rect id="Rectangle 1360250130" o:spid="_x0000_s1027" style="position:absolute;width:55552;height:121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" fillcolor="#dbebea" strokecolor="#0c1615 [484]" strokeweight=".25pt"/>
                <v:rect id="Rectangle 1137114246" o:spid="_x0000_s1028" style="position:absolute;left:1187;top:6102;width:9907;height:51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" fillcolor="#92d050" strokecolor="white [3212]" strokeweight=".25pt">
                  <v:textbox inset="2.00228mm,2.00228mm,2.00228mm,2.00228mm">
                    <w:txbxContent>
                      <w:p w14:paraId="5C02C4B4" w14:textId="77777777" w:rsidR="00E42D52" w:rsidRDefault="00E42D52" w:rsidP="00E42D52">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0</w:t>
                        </w:r>
                      </w:p>
                      <w:p w14:paraId="71410CC6" w14:textId="77777777" w:rsidR="00E42D52" w:rsidRDefault="00E42D52" w:rsidP="00E42D52">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Low</w:t>
                        </w:r>
                      </w:p>
                    </w:txbxContent>
                  </v:textbox>
                </v:rect>
                <v:shape id="Freeform: Shape 1193608736" o:spid="_x0000_s1029" style="position:absolute;left:11091;top:4247;width:4624;height:4624;visibility:visible;mso-wrap-style:square;v-text-anchor:middle" coordsize="645180,6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" path="m85519,246717r161198,l246717,85519r151746,l398463,246717r161198,l559661,398463r-161198,l398463,559661r-151746,l246717,398463r-161198,l85519,246717xe" fillcolor="#94c4bf [1940]" stroked="f" strokeweight=".25pt">
                  <v:path arrowok="t" o:connecttype="custom" o:connectlocs="61292,176823;176823,176823;176823,61292;285581,61292;285581,176823;401112,176823;401112,285581;285581,285581;285581,401112;176823,401112;176823,285581;61292,285581;61292,176823" o:connectangles="0,0,0,0,0,0,0,0,0,0,0,0,0"/>
                </v:shape>
                <v:rect id="Rectangle 1396954009" o:spid="_x0000_s1030" style="position:absolute;left:15712;top:6102;width:9908;height:51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" fillcolor="#f60" strokecolor="white [3212]" strokeweight=".25pt">
                  <v:textbox inset="2.00228mm,2.00228mm,2.00228mm,2.00228mm">
                    <w:txbxContent>
                      <w:p w14:paraId="6793EA89" w14:textId="77777777" w:rsidR="00E42D52" w:rsidRDefault="00E42D52" w:rsidP="00E42D52">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 xml:space="preserve">2 </w:t>
                        </w:r>
                      </w:p>
                      <w:p w14:paraId="3099651C" w14:textId="77777777" w:rsidR="00E42D52" w:rsidRDefault="00E42D52" w:rsidP="00E42D52">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Significant</w:t>
                        </w:r>
                      </w:p>
                    </w:txbxContent>
                  </v:textbox>
                </v:rect>
                <v:shape id="Freeform: Shape 267658114" o:spid="_x0000_s1031" style="position:absolute;left:25617;top:4247;width:4624;height:4624;visibility:visible;mso-wrap-style:square;v-text-anchor:middle" coordsize="645180,6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" path="m85519,246717r474142,l559661,398463r-474142,l85519,246717xe" fillcolor="#94c4bf [1940]" stroked="f" strokeweight=".25pt">
                  <v:path arrowok="t" o:connecttype="custom" o:connectlocs="61292,176823;401112,176823;401112,285581;61292,285581;61292,176823" o:connectangles="0,0,0,0,0"/>
                </v:shape>
                <v:rect id="Rectangle 1925717512" o:spid="_x0000_s1032" style="position:absolute;left:30238;top:6102;width:9907;height:51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" fillcolor="#fc6" strokecolor="white [3212]" strokeweight=".25pt">
                  <v:textbox inset="2.00228mm,2.00228mm,2.00228mm,2.00228mm">
                    <w:txbxContent>
                      <w:p w14:paraId="07C8A6C3" w14:textId="77777777" w:rsidR="00E42D52" w:rsidRDefault="00E42D52" w:rsidP="00E42D52">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 xml:space="preserve">2 </w:t>
                        </w:r>
                      </w:p>
                      <w:p w14:paraId="37B2342C" w14:textId="77777777" w:rsidR="00E42D52" w:rsidRDefault="00E42D52" w:rsidP="00E42D52">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Significant</w:t>
                        </w:r>
                      </w:p>
                    </w:txbxContent>
                  </v:textbox>
                </v:rect>
                <v:shape id="Freeform: Shape 1680189979" o:spid="_x0000_s1033" style="position:absolute;left:40142;top:4247;width:4624;height:4624;visibility:visible;mso-wrap-style:square;v-text-anchor:middle" coordsize="645180,6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" path="m85519,132907r474142,l559661,284653r-474142,l85519,132907xm85519,360527r474142,l559661,512273r-474142,l85519,360527xe" fillcolor="#94c4bf [1940]" stroked="f" strokeweight=".25pt">
                  <v:path arrowok="t" o:connecttype="custom" o:connectlocs="61292,95255;401112,95255;401112,204012;61292,204012;61292,95255;61292,258392;401112,258392;401112,367149;61292,367149;61292,258392" o:connectangles="0,0,0,0,0,0,0,0,0,0"/>
                </v:shape>
                <v:rect id="Rectangle 1561182537" o:spid="_x0000_s1034" style="position:absolute;left:44763;top:6102;width:9904;height:51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" fillcolor="#92d050" strokecolor="white [3212]" strokeweight=".25pt">
                  <v:textbox inset="2.00228mm,2.00228mm,2.00228mm,2.00228mm">
                    <w:txbxContent>
                      <w:p w14:paraId="4A8851B4" w14:textId="77777777" w:rsidR="00E42D52" w:rsidRDefault="00E42D52" w:rsidP="00E42D52">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0</w:t>
                        </w:r>
                      </w:p>
                      <w:p w14:paraId="6AB3386F" w14:textId="77777777" w:rsidR="00E42D52" w:rsidRDefault="00E42D52" w:rsidP="00E42D52">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Low</w:t>
                        </w:r>
                      </w:p>
                    </w:txbxContent>
                  </v:textbox>
                </v:rect>
                <v:rect id="Rectangle 679229244" o:spid="_x0000_s1035" style="position:absolute;left:1187;top:982;width:9907;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" fillcolor="#47928d" strokecolor="white [3212]" strokeweight=".25pt">
                  <v:textbox inset="2.00228mm,2.00228mm,2.00228mm,2.00228mm">
                    <w:txbxContent>
                      <w:p w14:paraId="7888F68D" w14:textId="77777777" w:rsidR="00E42D52" w:rsidRDefault="00E42D52" w:rsidP="00E42D52">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Exposure</w:t>
                        </w:r>
                      </w:p>
                    </w:txbxContent>
                  </v:textbox>
                </v:rect>
                <v:rect id="Rectangle 1618245833" o:spid="_x0000_s1036" style="position:absolute;left:15712;top:982;width:9908;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" fillcolor="#47928d" strokecolor="white [3212]" strokeweight=".25pt">
                  <v:textbox inset="2.00228mm,2.00228mm,2.00228mm,2.00228mm">
                    <w:txbxContent>
                      <w:p w14:paraId="39678592" w14:textId="77777777" w:rsidR="00E42D52" w:rsidRDefault="00E42D52" w:rsidP="00E42D52">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Sensitivity</w:t>
                        </w:r>
                      </w:p>
                    </w:txbxContent>
                  </v:textbox>
                </v:rect>
                <v:rect id="Rectangle 1761561656" o:spid="_x0000_s1037" style="position:absolute;left:30238;top:982;width:9907;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" fillcolor="#47928d" strokecolor="white [3212]" strokeweight=".25pt">
                  <v:textbox inset="2.00228mm,2.00228mm,2.00228mm,2.00228mm">
                    <w:txbxContent>
                      <w:p w14:paraId="537BFFBD" w14:textId="77777777" w:rsidR="00E42D52" w:rsidRDefault="00E42D52" w:rsidP="00E42D52">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Adaptive Capacity</w:t>
                        </w:r>
                      </w:p>
                    </w:txbxContent>
                  </v:textbox>
                </v:rect>
                <v:rect id="Rectangle 172744674" o:spid="_x0000_s1038" style="position:absolute;left:44763;top:982;width:9904;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" fillcolor="#47928d" strokecolor="white [3212]" strokeweight=".25pt">
                  <v:textbox inset="2.00228mm,2.00228mm,2.00228mm,2.00228mm">
                    <w:txbxContent>
                      <w:p w14:paraId="570EDD5C" w14:textId="77777777" w:rsidR="00E42D52" w:rsidRDefault="00E42D52" w:rsidP="00E42D52">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Overall Vulnerability</w:t>
                        </w:r>
                      </w:p>
                    </w:txbxContent>
                  </v:textbox>
                </v:rect>
                <w10:anchorlock/>
              </v:group>
            </w:pict>
          </mc:Fallback>
        </mc:AlternateContent>
      </w:r>
    </w:p>
    <w:p w14:paraId="04E6211B" w14:textId="77777777" w:rsidR="00BB3852" w:rsidRPr="00350368" w:rsidRDefault="000E4CD9" w:rsidP="00904F74">
      <w:pPr>
        <w:pStyle w:val="Heading2"/>
      </w:pPr>
      <w:r w:rsidRPr="00350368">
        <w:lastRenderedPageBreak/>
        <w:t>Risk summary</w:t>
      </w:r>
    </w:p>
    <w:p w14:paraId="5794C190" w14:textId="6BB6FF69" w:rsidR="00F36E02" w:rsidRPr="00350368" w:rsidRDefault="00F36E02" w:rsidP="00F36E02">
      <w:pPr>
        <w:rPr>
          <w:lang w:val="en-GB"/>
        </w:rPr>
      </w:pPr>
      <w:r w:rsidRPr="00350368">
        <w:rPr>
          <w:lang w:val="en-GB"/>
        </w:rPr>
        <w:t>West Yorkshire’s main direct exposure</w:t>
      </w:r>
      <w:r w:rsidR="00151F68" w:rsidRPr="00350368">
        <w:rPr>
          <w:lang w:val="en-GB"/>
        </w:rPr>
        <w:t xml:space="preserve"> </w:t>
      </w:r>
      <w:r w:rsidRPr="00350368">
        <w:rPr>
          <w:lang w:val="en-GB"/>
        </w:rPr>
        <w:t>is through Leeds Bradford Airport and its inland waterways, particularly the Calder and Hebble Navigation</w:t>
      </w:r>
      <w:r w:rsidR="007D41AD" w:rsidRPr="00350368">
        <w:rPr>
          <w:rStyle w:val="FootnoteReference"/>
          <w:lang w:val="en-GB"/>
        </w:rPr>
        <w:footnoteReference w:id="2"/>
      </w:r>
      <w:r w:rsidR="007D41AD" w:rsidRPr="00350368">
        <w:rPr>
          <w:lang w:val="en-GB"/>
        </w:rPr>
        <w:t xml:space="preserve"> </w:t>
      </w:r>
      <w:r w:rsidRPr="00350368">
        <w:rPr>
          <w:lang w:val="en-GB"/>
        </w:rPr>
        <w:t>and the Aire and Calder Navigation. The region has no seaport, but its businesses and communities depend on maritime freight and supply chains through ports elsewhere in the UK. Climate hazards include river and surface-water flooding, extreme heat, storms and high winds at the airport, and flooding, erosion and drought on navigable waterways.</w:t>
      </w:r>
      <w:r w:rsidR="00E329A0" w:rsidRPr="00350368">
        <w:rPr>
          <w:rStyle w:val="FootnoteReference"/>
          <w:lang w:val="en-GB"/>
        </w:rPr>
        <w:footnoteReference w:id="3"/>
      </w:r>
      <w:r w:rsidR="00E329A0" w:rsidRPr="00350368">
        <w:rPr>
          <w:lang w:val="en-GB"/>
        </w:rPr>
        <w:t xml:space="preserve"> </w:t>
      </w:r>
      <w:r w:rsidRPr="00350368">
        <w:rPr>
          <w:lang w:val="en-GB"/>
        </w:rPr>
        <w:t xml:space="preserve"> These can damage infrastructure, disrupt flights and navigation, affect workers and passengers, and interrupt freight and supply chains.</w:t>
      </w:r>
      <w:bookmarkStart w:id="0" w:name="_Ref241836007"/>
      <w:r w:rsidR="001B45E2" w:rsidRPr="00350368">
        <w:rPr>
          <w:rStyle w:val="FootnoteReference"/>
          <w:lang w:val="en-GB"/>
        </w:rPr>
        <w:footnoteReference w:id="4"/>
      </w:r>
      <w:bookmarkEnd w:id="0"/>
      <w:r w:rsidRPr="00350368">
        <w:rPr>
          <w:lang w:val="en-GB"/>
        </w:rPr>
        <w:t xml:space="preserve"> The national assessment rates the risk as high in magnitude but identifies low confidence in longer-term outcomes and limited evidence on infrastructure interdependencies.</w:t>
      </w:r>
      <w:bookmarkStart w:id="1" w:name="_Ref241835430"/>
      <w:r w:rsidR="001B45E2" w:rsidRPr="00350368">
        <w:rPr>
          <w:rStyle w:val="FootnoteReference"/>
          <w:lang w:val="en-GB"/>
        </w:rPr>
        <w:footnoteReference w:id="5"/>
      </w:r>
      <w:bookmarkEnd w:id="1"/>
      <w:r w:rsidRPr="00350368">
        <w:rPr>
          <w:lang w:val="en-GB"/>
        </w:rPr>
        <w:t xml:space="preserve"> </w:t>
      </w:r>
    </w:p>
    <w:p w14:paraId="53026077" w14:textId="059A6145" w:rsidR="00BB3852" w:rsidRPr="00350368" w:rsidRDefault="000E4CD9" w:rsidP="00904F74">
      <w:pPr>
        <w:pStyle w:val="Heading2"/>
      </w:pPr>
      <w:r w:rsidRPr="00350368">
        <w:t xml:space="preserve">Exposure: How exposed is </w:t>
      </w:r>
      <w:r w:rsidR="00A556A1" w:rsidRPr="00350368">
        <w:t>the West Yorkshire region</w:t>
      </w:r>
      <w:r w:rsidRPr="00350368">
        <w:t xml:space="preserve"> to this risk</w:t>
      </w:r>
      <w:r w:rsidR="00AE45E1" w:rsidRPr="00350368">
        <w:t>?</w:t>
      </w:r>
    </w:p>
    <w:p w14:paraId="77F5E929" w14:textId="5C1052D9" w:rsidR="00D846C7" w:rsidRPr="00350368" w:rsidRDefault="00913840" w:rsidP="00DC40F0">
      <w:pPr>
        <w:rPr>
          <w:lang w:val="en-GB"/>
        </w:rPr>
      </w:pPr>
      <w:r w:rsidRPr="00350368">
        <w:rPr>
          <w:noProof/>
          <w:lang w:val="en-GB"/>
        </w:rPr>
        <mc:AlternateContent>
          <mc:Choice Requires="wpg">
            <w:drawing>
              <wp:inline distT="0" distB="0" distL="0" distR="0" wp14:anchorId="79473A20" wp14:editId="19AE9136">
                <wp:extent cx="2966594" cy="445008"/>
                <wp:effectExtent l="0" t="0" r="24765" b="12700"/>
                <wp:docPr id="55" name="Group 54">
                  <a:extLst xmlns:a="http://schemas.openxmlformats.org/drawingml/2006/main">
                    <a:ext uri="{FF2B5EF4-FFF2-40B4-BE49-F238E27FC236}">
                      <a16:creationId xmlns:a16="http://schemas.microsoft.com/office/drawing/2014/main" id="{CFDC1507-90C7-5B9B-E79D-621B86723D73}"/>
                    </a:ext>
                  </a:extLst>
                </wp:docPr>
                <wp:cNvGraphicFramePr/>
                <a:graphic xmlns:a="http://schemas.openxmlformats.org/drawingml/2006/main">
                  <a:graphicData uri="http://schemas.microsoft.com/office/word/2010/wordprocessingGroup">
                    <wpg:wgp>
                      <wpg:cNvGrpSpPr/>
                      <wpg:grpSpPr>
                        <a:xfrm>
                          <a:off x="0" y="0"/>
                          <a:ext cx="2966594" cy="445008"/>
                          <a:chOff x="0" y="0"/>
                          <a:chExt cx="2966594" cy="445008"/>
                        </a:xfrm>
                      </wpg:grpSpPr>
                      <wps:wsp>
                        <wps:cNvPr id="1187667800" name="Rectangle 1187667800">
                          <a:extLst>
                            <a:ext uri="{FF2B5EF4-FFF2-40B4-BE49-F238E27FC236}">
                              <a16:creationId xmlns:a16="http://schemas.microsoft.com/office/drawing/2014/main" id="{541A59AC-DC0A-C201-170F-3A23A5E8B611}"/>
                            </a:ext>
                          </a:extLst>
                        </wps:cNvPr>
                        <wps:cNvSpPr/>
                        <wps:spPr>
                          <a:xfrm>
                            <a:off x="0" y="0"/>
                            <a:ext cx="2966594" cy="445008"/>
                          </a:xfrm>
                          <a:prstGeom prst="rect">
                            <a:avLst/>
                          </a:prstGeom>
                          <a:solidFill>
                            <a:srgbClr val="DBEBEA"/>
                          </a:solidFill>
                          <a:ln w="3175"/>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733100794" name="Rectangle 1733100794">
                          <a:extLst>
                            <a:ext uri="{FF2B5EF4-FFF2-40B4-BE49-F238E27FC236}">
                              <a16:creationId xmlns:a16="http://schemas.microsoft.com/office/drawing/2014/main" id="{9249575F-505E-1742-C38D-6FB26C0AC308}"/>
                            </a:ext>
                          </a:extLst>
                        </wps:cNvPr>
                        <wps:cNvSpPr/>
                        <wps:spPr>
                          <a:xfrm>
                            <a:off x="1495489" y="65566"/>
                            <a:ext cx="1350000" cy="313876"/>
                          </a:xfrm>
                          <a:prstGeom prst="rect">
                            <a:avLst/>
                          </a:prstGeom>
                          <a:solidFill>
                            <a:srgbClr val="92D050"/>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2DEE85E5" w14:textId="77777777" w:rsidR="00913840" w:rsidRDefault="00913840" w:rsidP="00913840">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Low or None</w:t>
                              </w:r>
                            </w:p>
                          </w:txbxContent>
                        </wps:txbx>
                        <wps:bodyPr spcFirstLastPara="0" vert="horz" wrap="square" lIns="72082" tIns="72082" rIns="72082" bIns="72082" numCol="1" spcCol="1270" anchor="ctr" anchorCtr="0">
                          <a:noAutofit/>
                        </wps:bodyPr>
                      </wps:wsp>
                      <wps:wsp>
                        <wps:cNvPr id="1940932965" name="Rectangle 1940932965">
                          <a:extLst>
                            <a:ext uri="{FF2B5EF4-FFF2-40B4-BE49-F238E27FC236}">
                              <a16:creationId xmlns:a16="http://schemas.microsoft.com/office/drawing/2014/main" id="{5D42AA7F-7709-1442-D2D9-AA1DF8760C47}"/>
                            </a:ext>
                          </a:extLst>
                        </wps:cNvPr>
                        <wps:cNvSpPr/>
                        <wps:spPr>
                          <a:xfrm>
                            <a:off x="103405" y="65566"/>
                            <a:ext cx="1351381" cy="313876"/>
                          </a:xfrm>
                          <a:prstGeom prst="rect">
                            <a:avLst/>
                          </a:prstGeom>
                          <a:solidFill>
                            <a:srgbClr val="47928D"/>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3293682D" w14:textId="77777777" w:rsidR="00913840" w:rsidRDefault="00913840" w:rsidP="00913840">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Exposure</w:t>
                              </w:r>
                            </w:p>
                          </w:txbxContent>
                        </wps:txbx>
                        <wps:bodyPr spcFirstLastPara="0" vert="horz" wrap="square" lIns="72082" tIns="72082" rIns="72082" bIns="72082" numCol="1" spcCol="1270" anchor="ctr" anchorCtr="0">
                          <a:noAutofit/>
                        </wps:bodyPr>
                      </wps:wsp>
                    </wpg:wgp>
                  </a:graphicData>
                </a:graphic>
              </wp:inline>
            </w:drawing>
          </mc:Choice>
          <mc:Fallback>
            <w:pict>
              <v:group w14:anchorId="79473A20" id="Group 54" o:spid="_x0000_s1039" style="width:233.6pt;height:35.05pt;mso-position-horizontal-relative:char;mso-position-vertical-relative:line" coordsize="29665,4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">
                <v:rect id="Rectangle 1187667800" o:spid="_x0000_s1040" style="position:absolute;width:29665;height:44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" fillcolor="#dbebea" strokecolor="#0c1615 [484]" strokeweight=".25pt"/>
                <v:rect id="Rectangle 1733100794" o:spid="_x0000_s1041" style="position:absolute;left:14954;top:655;width:13500;height:3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" fillcolor="#92d050" strokecolor="white [3212]" strokeweight=".25pt">
                  <v:textbox inset="2.00228mm,2.00228mm,2.00228mm,2.00228mm">
                    <w:txbxContent>
                      <w:p w14:paraId="2DEE85E5" w14:textId="77777777" w:rsidR="00913840" w:rsidRDefault="00913840" w:rsidP="00913840">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Low or None</w:t>
                        </w:r>
                      </w:p>
                    </w:txbxContent>
                  </v:textbox>
                </v:rect>
                <v:rect id="Rectangle 1940932965" o:spid="_x0000_s1042" style="position:absolute;left:1034;top:655;width:13513;height:3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" fillcolor="#47928d" strokecolor="white [3212]" strokeweight=".25pt">
                  <v:textbox inset="2.00228mm,2.00228mm,2.00228mm,2.00228mm">
                    <w:txbxContent>
                      <w:p w14:paraId="3293682D" w14:textId="77777777" w:rsidR="00913840" w:rsidRDefault="00913840" w:rsidP="00913840">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Exposure</w:t>
                        </w:r>
                      </w:p>
                    </w:txbxContent>
                  </v:textbox>
                </v:rect>
                <w10:anchorlock/>
              </v:group>
            </w:pict>
          </mc:Fallback>
        </mc:AlternateContent>
      </w:r>
    </w:p>
    <w:p w14:paraId="4DB0BAA8" w14:textId="3FD368F1" w:rsidR="00AB0032" w:rsidRPr="00350368" w:rsidRDefault="00AB0032" w:rsidP="00AB0032">
      <w:pPr>
        <w:rPr>
          <w:lang w:val="en-GB"/>
        </w:rPr>
      </w:pPr>
      <w:r w:rsidRPr="00350368">
        <w:rPr>
          <w:lang w:val="en-GB"/>
        </w:rPr>
        <w:t xml:space="preserve">Direct exposure is concentrated rather than </w:t>
      </w:r>
      <w:proofErr w:type="gramStart"/>
      <w:r w:rsidRPr="00350368">
        <w:rPr>
          <w:lang w:val="en-GB"/>
        </w:rPr>
        <w:t>region-wide</w:t>
      </w:r>
      <w:proofErr w:type="gramEnd"/>
      <w:r w:rsidRPr="00350368">
        <w:rPr>
          <w:lang w:val="en-GB"/>
        </w:rPr>
        <w:t>. Leeds Bradford Airport is the region’s principal aviation asset, providing domestic and international connections. The Calder and Hebble Navigation crosses Calderdale, Kirklees and Wakefield, while the Aire and Calder Navigation connects Wakefield and Leeds with the Humber system</w:t>
      </w:r>
      <w:r w:rsidR="00B34CBA" w:rsidRPr="00350368">
        <w:rPr>
          <w:rStyle w:val="FootnoteReference"/>
          <w:lang w:val="en-GB"/>
        </w:rPr>
        <w:footnoteReference w:id="6"/>
      </w:r>
      <w:r w:rsidRPr="00350368">
        <w:rPr>
          <w:lang w:val="en-GB"/>
        </w:rPr>
        <w:t>. The Mayor’s Local Transport Plan also identifies air links, waterways, rail freight connections to seaports and major logistics centres as parts of West Yorkshire’s wider transport system.</w:t>
      </w:r>
      <w:bookmarkStart w:id="2" w:name="_Ref241835354"/>
      <w:r w:rsidR="00AE32AC" w:rsidRPr="00350368">
        <w:rPr>
          <w:rStyle w:val="FootnoteReference"/>
          <w:lang w:val="en-GB"/>
        </w:rPr>
        <w:footnoteReference w:id="7"/>
      </w:r>
      <w:bookmarkEnd w:id="2"/>
      <w:r w:rsidR="00AE32AC" w:rsidRPr="00350368">
        <w:rPr>
          <w:lang w:val="en-GB"/>
        </w:rPr>
        <w:t xml:space="preserve"> </w:t>
      </w:r>
    </w:p>
    <w:p w14:paraId="0FF58EFC" w14:textId="626469ED" w:rsidR="00AB0032" w:rsidRPr="00350368" w:rsidRDefault="00AB0032" w:rsidP="00AB0032">
      <w:pPr>
        <w:rPr>
          <w:lang w:val="en-GB"/>
        </w:rPr>
      </w:pPr>
      <w:r w:rsidRPr="00350368">
        <w:rPr>
          <w:lang w:val="en-GB"/>
        </w:rPr>
        <w:t xml:space="preserve">Flood exposure is established locally, although </w:t>
      </w:r>
      <w:r w:rsidR="0047744E" w:rsidRPr="00350368">
        <w:rPr>
          <w:lang w:val="en-GB"/>
        </w:rPr>
        <w:t xml:space="preserve">available evidence </w:t>
      </w:r>
      <w:r w:rsidRPr="00350368">
        <w:rPr>
          <w:lang w:val="en-GB"/>
        </w:rPr>
        <w:t>d</w:t>
      </w:r>
      <w:r w:rsidR="0047744E" w:rsidRPr="00350368">
        <w:rPr>
          <w:lang w:val="en-GB"/>
        </w:rPr>
        <w:t>id</w:t>
      </w:r>
      <w:r w:rsidRPr="00350368">
        <w:rPr>
          <w:lang w:val="en-GB"/>
        </w:rPr>
        <w:t xml:space="preserve"> not provide a comprehensive climate-risk assessment for the airport. Calderdale’s waterways are closely connected to the River Calder and can be inundated when river levels rise. The borough’s flood-risk document identifies regular river and surface-water flooding along the Calder Valley, including at Todmorden, Hebden Bridge, Mytholmroyd, Sowerby Bridge, Elland and Brighouse.</w:t>
      </w:r>
      <w:bookmarkStart w:id="3" w:name="_Ref241835859"/>
      <w:r w:rsidR="001E361A" w:rsidRPr="00350368">
        <w:rPr>
          <w:rStyle w:val="FootnoteReference"/>
          <w:lang w:val="en-GB"/>
        </w:rPr>
        <w:footnoteReference w:id="8"/>
      </w:r>
      <w:bookmarkEnd w:id="3"/>
      <w:r w:rsidRPr="00350368">
        <w:rPr>
          <w:lang w:val="en-GB"/>
        </w:rPr>
        <w:t xml:space="preserve">  Leeds also has exposure from rivers, surface water, sewers, groundwater, canals and reservoirs</w:t>
      </w:r>
      <w:bookmarkStart w:id="4" w:name="_Ref241835860"/>
      <w:r w:rsidR="00A31637" w:rsidRPr="00350368">
        <w:rPr>
          <w:rStyle w:val="FootnoteReference"/>
          <w:lang w:val="en-GB"/>
        </w:rPr>
        <w:footnoteReference w:id="9"/>
      </w:r>
      <w:bookmarkEnd w:id="4"/>
      <w:r w:rsidRPr="00350368">
        <w:rPr>
          <w:lang w:val="en-GB"/>
        </w:rPr>
        <w:t>, while Wakefield’s river and canal network includes the Calder, Aire and more than 20</w:t>
      </w:r>
      <w:r w:rsidR="00350368">
        <w:rPr>
          <w:lang w:val="en-GB"/>
        </w:rPr>
        <w:t xml:space="preserve">km </w:t>
      </w:r>
      <w:r w:rsidRPr="00350368">
        <w:rPr>
          <w:lang w:val="en-GB"/>
        </w:rPr>
        <w:t>of canal.</w:t>
      </w:r>
      <w:bookmarkStart w:id="5" w:name="_Ref241835862"/>
      <w:r w:rsidR="00985339" w:rsidRPr="00350368">
        <w:rPr>
          <w:rStyle w:val="FootnoteReference"/>
          <w:lang w:val="en-GB"/>
        </w:rPr>
        <w:footnoteReference w:id="10"/>
      </w:r>
      <w:bookmarkEnd w:id="5"/>
      <w:r w:rsidRPr="00350368">
        <w:rPr>
          <w:lang w:val="en-GB"/>
        </w:rPr>
        <w:t xml:space="preserve"> </w:t>
      </w:r>
    </w:p>
    <w:p w14:paraId="5A7B05C1" w14:textId="192921F0" w:rsidR="00AB0032" w:rsidRPr="00350368" w:rsidRDefault="00290433" w:rsidP="00AB0032">
      <w:pPr>
        <w:rPr>
          <w:lang w:val="en-GB"/>
        </w:rPr>
      </w:pPr>
      <w:r>
        <w:rPr>
          <w:noProof/>
          <w:lang w:val="en-GB"/>
        </w:rPr>
        <w:lastRenderedPageBreak/>
        <w:drawing>
          <wp:anchor distT="0" distB="0" distL="114300" distR="114300" simplePos="0" relativeHeight="251658240" behindDoc="0" locked="0" layoutInCell="1" allowOverlap="1" wp14:anchorId="53FF4D32" wp14:editId="70AF330E">
            <wp:simplePos x="0" y="0"/>
            <wp:positionH relativeFrom="column">
              <wp:posOffset>1828800</wp:posOffset>
            </wp:positionH>
            <wp:positionV relativeFrom="paragraph">
              <wp:posOffset>651510</wp:posOffset>
            </wp:positionV>
            <wp:extent cx="4023360" cy="2339975"/>
            <wp:effectExtent l="0" t="0" r="0" b="3175"/>
            <wp:wrapSquare wrapText="bothSides"/>
            <wp:docPr id="15340517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405177" name="Picture 153405177"/>
                    <pic:cNvPicPr/>
                  </pic:nvPicPr>
                  <pic:blipFill rotWithShape="1">
                    <a:blip r:embed="rId11" cstate="print">
                      <a:extLst>
                        <a:ext uri="{28A0092B-C50C-407E-A947-70E740481C1C}">
                          <a14:useLocalDpi xmlns:a14="http://schemas.microsoft.com/office/drawing/2010/main" val="0"/>
                        </a:ext>
                      </a:extLst>
                    </a:blip>
                    <a:srcRect r="4058"/>
                    <a:stretch>
                      <a:fillRect/>
                    </a:stretch>
                  </pic:blipFill>
                  <pic:spPr bwMode="auto">
                    <a:xfrm>
                      <a:off x="0" y="0"/>
                      <a:ext cx="4023360" cy="23399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B0032" w:rsidRPr="00350368">
        <w:rPr>
          <w:lang w:val="en-GB"/>
        </w:rPr>
        <w:t>West Yorkshire has no coastal or port infrastructure within its boundary. Maritime exposure is therefore indirect, through dependence on ports, international shipping and connecting road and rail freight routes.</w:t>
      </w:r>
      <w:r w:rsidR="00951B47" w:rsidRPr="00350368">
        <w:rPr>
          <w:rStyle w:val="FootnoteReference"/>
          <w:lang w:val="en-GB"/>
        </w:rPr>
        <w:footnoteReference w:id="11"/>
      </w:r>
      <w:r w:rsidR="00AB0032" w:rsidRPr="00350368">
        <w:rPr>
          <w:lang w:val="en-GB"/>
        </w:rPr>
        <w:t xml:space="preserve"> Current evidence does not quantify how much of West Yorkshire’s trade or supply chain is dependent on individual ports</w:t>
      </w:r>
      <w:r w:rsidR="006B4A3E" w:rsidRPr="00350368">
        <w:rPr>
          <w:rStyle w:val="FootnoteReference"/>
          <w:lang w:val="en-GB"/>
        </w:rPr>
        <w:fldChar w:fldCharType="begin"/>
      </w:r>
      <w:r w:rsidR="006B4A3E" w:rsidRPr="00350368">
        <w:rPr>
          <w:lang w:val="en-GB"/>
        </w:rPr>
        <w:instrText xml:space="preserve"> NOTEREF _Ref241835354 \f \h </w:instrText>
      </w:r>
      <w:r w:rsidR="006B4A3E" w:rsidRPr="00350368">
        <w:rPr>
          <w:rStyle w:val="FootnoteReference"/>
          <w:lang w:val="en-GB"/>
        </w:rPr>
      </w:r>
      <w:r w:rsidR="006B4A3E" w:rsidRPr="00350368">
        <w:rPr>
          <w:rStyle w:val="FootnoteReference"/>
          <w:lang w:val="en-GB"/>
        </w:rPr>
        <w:fldChar w:fldCharType="separate"/>
      </w:r>
      <w:r w:rsidR="007103A1" w:rsidRPr="007103A1">
        <w:rPr>
          <w:rStyle w:val="FootnoteReference"/>
          <w:lang w:val="en-GB"/>
        </w:rPr>
        <w:t>7</w:t>
      </w:r>
      <w:r w:rsidR="006B4A3E" w:rsidRPr="00350368">
        <w:rPr>
          <w:rStyle w:val="FootnoteReference"/>
          <w:lang w:val="en-GB"/>
        </w:rPr>
        <w:fldChar w:fldCharType="end"/>
      </w:r>
      <w:r w:rsidR="00AB0032" w:rsidRPr="00350368">
        <w:rPr>
          <w:lang w:val="en-GB"/>
        </w:rPr>
        <w:t xml:space="preserve">, so the exposure score is based on the limited spatial extent of the airport and inland-waterway assets rather than a measured percentage of the regional transport system. </w:t>
      </w:r>
    </w:p>
    <w:p w14:paraId="37124373" w14:textId="7F9A253E" w:rsidR="00930CB1" w:rsidRPr="00350368" w:rsidRDefault="00930CB1" w:rsidP="00930CB1">
      <w:pPr>
        <w:rPr>
          <w:lang w:val="en-GB"/>
        </w:rPr>
      </w:pPr>
      <w:r w:rsidRPr="00350368">
        <w:rPr>
          <w:lang w:val="en-GB"/>
        </w:rPr>
        <w:t>The Combined Authority’s draft freight evidence base confirms that freight is economically important to West Yorkshire and examines international trade, road and rail freight, water freight and port activity. However, the published material does not yet provide a climate-risk assessment of the region’s port-related supply chains.</w:t>
      </w:r>
      <w:r w:rsidR="008071AA" w:rsidRPr="00350368">
        <w:rPr>
          <w:rStyle w:val="FootnoteReference"/>
          <w:lang w:val="en-GB"/>
        </w:rPr>
        <w:footnoteReference w:id="12"/>
      </w:r>
    </w:p>
    <w:p w14:paraId="34E700BE" w14:textId="5CE66B73" w:rsidR="00930CB1" w:rsidRPr="00350368" w:rsidRDefault="00967AB6" w:rsidP="00AB0032">
      <w:pPr>
        <w:rPr>
          <w:lang w:val="en-GB"/>
        </w:rPr>
      </w:pPr>
      <w:r w:rsidRPr="00350368">
        <w:rPr>
          <w:lang w:val="en-GB"/>
        </w:rPr>
        <w:t xml:space="preserve">A tangible example of this indirect exposure is Wakefield </w:t>
      </w:r>
      <w:proofErr w:type="spellStart"/>
      <w:r w:rsidRPr="00350368">
        <w:rPr>
          <w:lang w:val="en-GB"/>
        </w:rPr>
        <w:t>Europort</w:t>
      </w:r>
      <w:proofErr w:type="spellEnd"/>
      <w:r w:rsidRPr="00350368">
        <w:rPr>
          <w:lang w:val="en-GB"/>
        </w:rPr>
        <w:t xml:space="preserve">, where a commercial operator provides rail services to major deep-sea ports alongside container storage and onward road haulage. This illustrates a connection between West Yorkshire logistics and maritime </w:t>
      </w:r>
      <w:proofErr w:type="gramStart"/>
      <w:r w:rsidRPr="00350368">
        <w:rPr>
          <w:lang w:val="en-GB"/>
        </w:rPr>
        <w:t>gateways, but</w:t>
      </w:r>
      <w:proofErr w:type="gramEnd"/>
      <w:r w:rsidRPr="00350368">
        <w:rPr>
          <w:lang w:val="en-GB"/>
        </w:rPr>
        <w:t xml:space="preserve"> does not establish the region’s overall dependence on any individual port.</w:t>
      </w:r>
      <w:r w:rsidRPr="00350368">
        <w:rPr>
          <w:rStyle w:val="FootnoteReference"/>
          <w:lang w:val="en-GB"/>
        </w:rPr>
        <w:footnoteReference w:id="13"/>
      </w:r>
    </w:p>
    <w:p w14:paraId="504F799A" w14:textId="41B3133B" w:rsidR="00BB3852" w:rsidRPr="00350368" w:rsidRDefault="000E4CD9" w:rsidP="00A76A16">
      <w:pPr>
        <w:pStyle w:val="Heading2"/>
      </w:pPr>
      <w:r w:rsidRPr="00350368">
        <w:t>Sensitivity: How significant could this risk be for the West Yorkshire region</w:t>
      </w:r>
      <w:r w:rsidR="00AE45E1" w:rsidRPr="00350368">
        <w:t>?</w:t>
      </w:r>
    </w:p>
    <w:p w14:paraId="1B95CF29" w14:textId="34E2CE85" w:rsidR="00A76A16" w:rsidRPr="00350368" w:rsidRDefault="00F51958" w:rsidP="00904F74">
      <w:pPr>
        <w:rPr>
          <w:lang w:val="en-GB" w:eastAsia="en-US"/>
        </w:rPr>
      </w:pPr>
      <w:r w:rsidRPr="00350368">
        <w:rPr>
          <w:noProof/>
          <w:lang w:val="en-GB" w:eastAsia="en-US"/>
        </w:rPr>
        <w:drawing>
          <wp:inline distT="0" distB="0" distL="0" distR="0" wp14:anchorId="1B4558FC" wp14:editId="33789B19">
            <wp:extent cx="2969260" cy="450850"/>
            <wp:effectExtent l="0" t="0" r="2540" b="6350"/>
            <wp:docPr id="1310986055"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69260" cy="450850"/>
                    </a:xfrm>
                    <a:prstGeom prst="rect">
                      <a:avLst/>
                    </a:prstGeom>
                    <a:noFill/>
                  </pic:spPr>
                </pic:pic>
              </a:graphicData>
            </a:graphic>
          </wp:inline>
        </w:drawing>
      </w:r>
    </w:p>
    <w:p w14:paraId="157CE282" w14:textId="7971C467" w:rsidR="00730467" w:rsidRPr="00350368" w:rsidRDefault="00F9083E" w:rsidP="00F9083E">
      <w:pPr>
        <w:rPr>
          <w:lang w:val="en-GB"/>
        </w:rPr>
      </w:pPr>
      <w:r w:rsidRPr="00350368">
        <w:rPr>
          <w:lang w:val="en-GB"/>
        </w:rPr>
        <w:t>Flooding, strong winds and extreme heat could disrupt airport operations, damage runways, terminals, drainage, communications and supporting utilities, cause delays and cancellations, and affect staff and passenger safety.</w:t>
      </w:r>
      <w:r w:rsidR="00F51958" w:rsidRPr="00350368">
        <w:rPr>
          <w:lang w:val="en-GB"/>
        </w:rPr>
        <w:fldChar w:fldCharType="begin"/>
      </w:r>
      <w:r w:rsidR="00F51958" w:rsidRPr="00350368">
        <w:rPr>
          <w:lang w:val="en-GB"/>
        </w:rPr>
        <w:instrText xml:space="preserve"> NOTEREF _Ref241835430 \f \h </w:instrText>
      </w:r>
      <w:r w:rsidR="00F51958" w:rsidRPr="00350368">
        <w:rPr>
          <w:lang w:val="en-GB"/>
        </w:rPr>
      </w:r>
      <w:r w:rsidR="00F51958" w:rsidRPr="00350368">
        <w:rPr>
          <w:lang w:val="en-GB"/>
        </w:rPr>
        <w:fldChar w:fldCharType="separate"/>
      </w:r>
      <w:r w:rsidR="007103A1" w:rsidRPr="007103A1">
        <w:rPr>
          <w:rStyle w:val="FootnoteReference"/>
          <w:lang w:val="en-GB"/>
        </w:rPr>
        <w:t>5</w:t>
      </w:r>
      <w:r w:rsidR="00F51958" w:rsidRPr="00350368">
        <w:rPr>
          <w:lang w:val="en-GB"/>
        </w:rPr>
        <w:fldChar w:fldCharType="end"/>
      </w:r>
      <w:r w:rsidRPr="00350368">
        <w:rPr>
          <w:lang w:val="en-GB"/>
        </w:rPr>
        <w:t xml:space="preserve"> National evidence also shows that higher temperatures can reduce aircraft lift and maximum take-off weight, while changes in wind and clear-air turbulence can affect flight operations and increase delays, diversions and fuel use.</w:t>
      </w:r>
      <w:bookmarkStart w:id="6" w:name="_Ref241835636"/>
      <w:r w:rsidR="00D711BC" w:rsidRPr="00350368">
        <w:rPr>
          <w:rStyle w:val="FootnoteReference"/>
          <w:lang w:val="en-GB"/>
        </w:rPr>
        <w:footnoteReference w:id="14"/>
      </w:r>
      <w:bookmarkEnd w:id="6"/>
      <w:r w:rsidR="00FE4B7B" w:rsidRPr="00350368">
        <w:rPr>
          <w:vertAlign w:val="superscript"/>
          <w:lang w:val="en-GB"/>
        </w:rPr>
        <w:t>,</w:t>
      </w:r>
      <w:r w:rsidR="00FE4B7B" w:rsidRPr="00350368">
        <w:rPr>
          <w:rStyle w:val="FootnoteReference"/>
          <w:lang w:val="en-GB"/>
        </w:rPr>
        <w:footnoteReference w:id="15"/>
      </w:r>
      <w:r w:rsidRPr="00350368">
        <w:rPr>
          <w:lang w:val="en-GB"/>
        </w:rPr>
        <w:t xml:space="preserve"> </w:t>
      </w:r>
    </w:p>
    <w:p w14:paraId="6C841912" w14:textId="08AB1C15" w:rsidR="002D713B" w:rsidRPr="00350368" w:rsidRDefault="00730467" w:rsidP="00F9083E">
      <w:pPr>
        <w:rPr>
          <w:lang w:val="en-GB"/>
        </w:rPr>
      </w:pPr>
      <w:r w:rsidRPr="00350368">
        <w:rPr>
          <w:lang w:val="en-GB"/>
        </w:rPr>
        <w:lastRenderedPageBreak/>
        <w:t>Storm Ciara in February 2020 demonstrates the sensitivity of the Calder and Hebble Navigation. Canal &amp; River Trust reports that floodwater overtopped Figure of Three Locks, causing about £3 million of damage, while a 30-metre section of the Woodside Lock landing and towpath near Elland was washed away. Restoration of Figure of Three Locks and the washed-out towpath was completed in April 2022, with a further £507,000 repair programme subsequently begun at Woodside Lock.</w:t>
      </w:r>
      <w:r w:rsidR="006E633D" w:rsidRPr="00350368">
        <w:rPr>
          <w:rStyle w:val="FootnoteReference"/>
          <w:lang w:val="en-GB"/>
        </w:rPr>
        <w:footnoteReference w:id="16"/>
      </w:r>
      <w:r w:rsidRPr="00350368">
        <w:rPr>
          <w:lang w:val="en-GB"/>
        </w:rPr>
        <w:t xml:space="preserve"> This </w:t>
      </w:r>
      <w:r w:rsidR="00243A02" w:rsidRPr="00350368">
        <w:rPr>
          <w:lang w:val="en-GB"/>
        </w:rPr>
        <w:t>provides</w:t>
      </w:r>
      <w:r w:rsidRPr="00350368">
        <w:rPr>
          <w:lang w:val="en-GB"/>
        </w:rPr>
        <w:t xml:space="preserve"> a local illustration of the potentially lengthy and costly failure of individual waterway structures.</w:t>
      </w:r>
      <w:r w:rsidR="006E633D" w:rsidRPr="00350368">
        <w:rPr>
          <w:lang w:val="en-GB"/>
        </w:rPr>
        <w:t xml:space="preserve"> </w:t>
      </w:r>
    </w:p>
    <w:p w14:paraId="2B45D37F" w14:textId="0F17A007" w:rsidR="002D713B" w:rsidRPr="00350368" w:rsidRDefault="002D713B" w:rsidP="002D713B">
      <w:pPr>
        <w:rPr>
          <w:lang w:val="en-GB"/>
        </w:rPr>
      </w:pPr>
      <w:r w:rsidRPr="00350368">
        <w:rPr>
          <w:lang w:val="en-GB"/>
        </w:rPr>
        <w:t xml:space="preserve">Canal &amp; River Trust reports that drought can reduce reservoir, river and feeder levels and lead to temporary lock restrictions or closures. </w:t>
      </w:r>
      <w:r w:rsidR="007D630B" w:rsidRPr="00350368">
        <w:rPr>
          <w:lang w:val="en-GB"/>
        </w:rPr>
        <w:t xml:space="preserve">No data is available on </w:t>
      </w:r>
      <w:r w:rsidRPr="00350368">
        <w:rPr>
          <w:lang w:val="en-GB"/>
        </w:rPr>
        <w:t>the frequency, duration or economic effect of drought restrictions on West Yorkshire’s waterways.</w:t>
      </w:r>
      <w:r w:rsidR="00485A77" w:rsidRPr="00350368">
        <w:rPr>
          <w:rStyle w:val="FootnoteReference"/>
          <w:lang w:val="en-GB"/>
        </w:rPr>
        <w:footnoteReference w:id="17"/>
      </w:r>
    </w:p>
    <w:p w14:paraId="4E6CBAC0" w14:textId="7A86D589" w:rsidR="00F9083E" w:rsidRPr="00350368" w:rsidRDefault="00F9083E" w:rsidP="00F9083E">
      <w:pPr>
        <w:rPr>
          <w:lang w:val="en-GB"/>
        </w:rPr>
      </w:pPr>
      <w:r w:rsidRPr="00350368">
        <w:rPr>
          <w:lang w:val="en-GB"/>
        </w:rPr>
        <w:t xml:space="preserve">Indirect consequences could extend beyond </w:t>
      </w:r>
      <w:r w:rsidR="007D630B" w:rsidRPr="00350368">
        <w:rPr>
          <w:lang w:val="en-GB"/>
        </w:rPr>
        <w:t>West Yorkshire</w:t>
      </w:r>
      <w:r w:rsidRPr="00350368">
        <w:rPr>
          <w:lang w:val="en-GB"/>
        </w:rPr>
        <w:t>. The Mayor’s Local Transport Plan identifies Leeds Bradford Airport, the motorway network, rail freight routes and logistics centres as important connections to national and international markets.</w:t>
      </w:r>
      <w:r w:rsidR="006A29EE" w:rsidRPr="00350368">
        <w:rPr>
          <w:lang w:val="en-GB"/>
        </w:rPr>
        <w:fldChar w:fldCharType="begin"/>
      </w:r>
      <w:r w:rsidR="006A29EE" w:rsidRPr="00350368">
        <w:rPr>
          <w:lang w:val="en-GB"/>
        </w:rPr>
        <w:instrText xml:space="preserve"> NOTEREF _Ref241835430 \f \h </w:instrText>
      </w:r>
      <w:r w:rsidR="006A29EE" w:rsidRPr="00350368">
        <w:rPr>
          <w:lang w:val="en-GB"/>
        </w:rPr>
      </w:r>
      <w:r w:rsidR="006A29EE" w:rsidRPr="00350368">
        <w:rPr>
          <w:lang w:val="en-GB"/>
        </w:rPr>
        <w:fldChar w:fldCharType="separate"/>
      </w:r>
      <w:r w:rsidR="007103A1" w:rsidRPr="007103A1">
        <w:rPr>
          <w:rStyle w:val="FootnoteReference"/>
          <w:lang w:val="en-GB"/>
        </w:rPr>
        <w:t>5</w:t>
      </w:r>
      <w:r w:rsidR="006A29EE" w:rsidRPr="00350368">
        <w:rPr>
          <w:lang w:val="en-GB"/>
        </w:rPr>
        <w:fldChar w:fldCharType="end"/>
      </w:r>
      <w:r w:rsidRPr="00350368">
        <w:rPr>
          <w:lang w:val="en-GB"/>
        </w:rPr>
        <w:t xml:space="preserve"> Disruption at the airport, on inland waterways or at external ports could affect passenger travel, freight, manufacturing and access to goods.</w:t>
      </w:r>
      <w:r w:rsidR="006A29EE" w:rsidRPr="00350368">
        <w:rPr>
          <w:lang w:val="en-GB"/>
        </w:rPr>
        <w:fldChar w:fldCharType="begin"/>
      </w:r>
      <w:r w:rsidR="006A29EE" w:rsidRPr="00350368">
        <w:rPr>
          <w:lang w:val="en-GB"/>
        </w:rPr>
        <w:instrText xml:space="preserve"> NOTEREF _Ref241835354 \f \h </w:instrText>
      </w:r>
      <w:r w:rsidR="006A29EE" w:rsidRPr="00350368">
        <w:rPr>
          <w:lang w:val="en-GB"/>
        </w:rPr>
      </w:r>
      <w:r w:rsidR="006A29EE" w:rsidRPr="00350368">
        <w:rPr>
          <w:lang w:val="en-GB"/>
        </w:rPr>
        <w:fldChar w:fldCharType="separate"/>
      </w:r>
      <w:r w:rsidR="007103A1" w:rsidRPr="007103A1">
        <w:rPr>
          <w:rStyle w:val="FootnoteReference"/>
          <w:lang w:val="en-GB"/>
        </w:rPr>
        <w:t>7</w:t>
      </w:r>
      <w:r w:rsidR="006A29EE" w:rsidRPr="00350368">
        <w:rPr>
          <w:lang w:val="en-GB"/>
        </w:rPr>
        <w:fldChar w:fldCharType="end"/>
      </w:r>
      <w:r w:rsidR="006A29EE" w:rsidRPr="00350368">
        <w:rPr>
          <w:lang w:val="en-GB"/>
        </w:rPr>
        <w:t xml:space="preserve"> </w:t>
      </w:r>
    </w:p>
    <w:p w14:paraId="3E6E81D4" w14:textId="77777777" w:rsidR="00BB3852" w:rsidRPr="00350368" w:rsidRDefault="000E4CD9" w:rsidP="00904F74">
      <w:pPr>
        <w:pStyle w:val="Heading2"/>
      </w:pPr>
      <w:r w:rsidRPr="00350368">
        <w:t>Adaptive Capacity: Existing programmes, plans, policies, budgets and community action</w:t>
      </w:r>
    </w:p>
    <w:p w14:paraId="767E1A74" w14:textId="4A6704B0" w:rsidR="001B4FA0" w:rsidRPr="00350368" w:rsidRDefault="001B4FA0">
      <w:pPr>
        <w:rPr>
          <w:lang w:val="en-GB"/>
        </w:rPr>
      </w:pPr>
      <w:r w:rsidRPr="00350368">
        <w:rPr>
          <w:noProof/>
          <w:lang w:val="en-GB"/>
        </w:rPr>
        <mc:AlternateContent>
          <mc:Choice Requires="wpg">
            <w:drawing>
              <wp:inline distT="0" distB="0" distL="0" distR="0" wp14:anchorId="6563FC0A" wp14:editId="45B76A3E">
                <wp:extent cx="2966594" cy="445008"/>
                <wp:effectExtent l="0" t="0" r="24765" b="12700"/>
                <wp:docPr id="24" name="Group 23">
                  <a:extLst xmlns:a="http://schemas.openxmlformats.org/drawingml/2006/main">
                    <a:ext uri="{FF2B5EF4-FFF2-40B4-BE49-F238E27FC236}">
                      <a16:creationId xmlns:a16="http://schemas.microsoft.com/office/drawing/2014/main" id="{48CCF535-9D22-C284-BD45-8FEAC46468F8}"/>
                    </a:ext>
                  </a:extLst>
                </wp:docPr>
                <wp:cNvGraphicFramePr/>
                <a:graphic xmlns:a="http://schemas.openxmlformats.org/drawingml/2006/main">
                  <a:graphicData uri="http://schemas.microsoft.com/office/word/2010/wordprocessingGroup">
                    <wpg:wgp>
                      <wpg:cNvGrpSpPr/>
                      <wpg:grpSpPr>
                        <a:xfrm>
                          <a:off x="0" y="0"/>
                          <a:ext cx="2966594" cy="445008"/>
                          <a:chOff x="0" y="0"/>
                          <a:chExt cx="2966594" cy="445008"/>
                        </a:xfrm>
                      </wpg:grpSpPr>
                      <wps:wsp>
                        <wps:cNvPr id="21215504" name="Rectangle 21215504">
                          <a:extLst>
                            <a:ext uri="{FF2B5EF4-FFF2-40B4-BE49-F238E27FC236}">
                              <a16:creationId xmlns:a16="http://schemas.microsoft.com/office/drawing/2014/main" id="{62689F8B-47DA-4391-DF54-469708618F06}"/>
                            </a:ext>
                          </a:extLst>
                        </wps:cNvPr>
                        <wps:cNvSpPr/>
                        <wps:spPr>
                          <a:xfrm>
                            <a:off x="0" y="0"/>
                            <a:ext cx="2966594" cy="445008"/>
                          </a:xfrm>
                          <a:prstGeom prst="rect">
                            <a:avLst/>
                          </a:prstGeom>
                          <a:solidFill>
                            <a:srgbClr val="DBEBEA"/>
                          </a:solidFill>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2027525004" name="Rectangle 2027525004">
                          <a:extLst>
                            <a:ext uri="{FF2B5EF4-FFF2-40B4-BE49-F238E27FC236}">
                              <a16:creationId xmlns:a16="http://schemas.microsoft.com/office/drawing/2014/main" id="{C92C7ABF-E276-487F-B2A5-51EC9B9D300C}"/>
                            </a:ext>
                          </a:extLst>
                        </wps:cNvPr>
                        <wps:cNvSpPr/>
                        <wps:spPr>
                          <a:xfrm>
                            <a:off x="1495489" y="65566"/>
                            <a:ext cx="1350000" cy="313876"/>
                          </a:xfrm>
                          <a:prstGeom prst="rect">
                            <a:avLst/>
                          </a:prstGeom>
                          <a:solidFill>
                            <a:srgbClr val="FFCC66"/>
                          </a:solidFill>
                          <a:ln w="12700">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6D2F9B8A" w14:textId="77777777" w:rsidR="001B4FA0" w:rsidRDefault="001B4FA0" w:rsidP="001B4FA0">
                              <w:pPr>
                                <w:spacing w:after="92" w:line="216" w:lineRule="auto"/>
                                <w:jc w:val="center"/>
                                <w:rPr>
                                  <w:rFonts w:hAnsi="Aptos"/>
                                  <w:b/>
                                  <w:color w:val="000000" w:themeColor="text1"/>
                                  <w:kern w:val="24"/>
                                  <w:sz w:val="22"/>
                                  <w:szCs w:val="22"/>
                                </w:rPr>
                              </w:pPr>
                              <w:r>
                                <w:rPr>
                                  <w:rFonts w:hAnsi="Aptos"/>
                                  <w:b/>
                                  <w:color w:val="000000" w:themeColor="text1"/>
                                  <w:kern w:val="24"/>
                                  <w:sz w:val="22"/>
                                  <w:szCs w:val="22"/>
                                </w:rPr>
                                <w:t>Significant</w:t>
                              </w:r>
                            </w:p>
                          </w:txbxContent>
                        </wps:txbx>
                        <wps:bodyPr spcFirstLastPara="0" vert="horz" wrap="square" lIns="72082" tIns="72082" rIns="72082" bIns="72082" numCol="1" spcCol="1270" anchor="ctr" anchorCtr="0">
                          <a:noAutofit/>
                        </wps:bodyPr>
                      </wps:wsp>
                      <wps:wsp>
                        <wps:cNvPr id="441376926" name="Rectangle 441376926">
                          <a:extLst>
                            <a:ext uri="{FF2B5EF4-FFF2-40B4-BE49-F238E27FC236}">
                              <a16:creationId xmlns:a16="http://schemas.microsoft.com/office/drawing/2014/main" id="{4B298F21-1ABD-91F1-8C70-D2D3DB624596}"/>
                            </a:ext>
                          </a:extLst>
                        </wps:cNvPr>
                        <wps:cNvSpPr/>
                        <wps:spPr>
                          <a:xfrm>
                            <a:off x="103405" y="65566"/>
                            <a:ext cx="1351381" cy="313876"/>
                          </a:xfrm>
                          <a:prstGeom prst="rect">
                            <a:avLst/>
                          </a:prstGeom>
                          <a:solidFill>
                            <a:srgbClr val="47928D"/>
                          </a:solidFill>
                          <a:ln w="12700">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76453419" w14:textId="77777777" w:rsidR="001B4FA0" w:rsidRDefault="001B4FA0" w:rsidP="001B4FA0">
                              <w:pPr>
                                <w:spacing w:after="92" w:line="216" w:lineRule="auto"/>
                                <w:jc w:val="center"/>
                                <w:rPr>
                                  <w:rFonts w:hAnsi="Aptos"/>
                                  <w:b/>
                                  <w:color w:val="FFFFFF" w:themeColor="background1"/>
                                  <w:kern w:val="24"/>
                                  <w:sz w:val="22"/>
                                  <w:szCs w:val="22"/>
                                </w:rPr>
                              </w:pPr>
                              <w:r>
                                <w:rPr>
                                  <w:rFonts w:hAnsi="Aptos"/>
                                  <w:b/>
                                  <w:color w:val="FFFFFF" w:themeColor="background1"/>
                                  <w:kern w:val="24"/>
                                  <w:sz w:val="22"/>
                                  <w:szCs w:val="22"/>
                                </w:rPr>
                                <w:t>Adaptive Capacity</w:t>
                              </w:r>
                            </w:p>
                          </w:txbxContent>
                        </wps:txbx>
                        <wps:bodyPr spcFirstLastPara="0" vert="horz" wrap="square" lIns="72082" tIns="72082" rIns="72082" bIns="72082" numCol="1" spcCol="1270" anchor="ctr" anchorCtr="0">
                          <a:noAutofit/>
                        </wps:bodyPr>
                      </wps:wsp>
                    </wpg:wgp>
                  </a:graphicData>
                </a:graphic>
              </wp:inline>
            </w:drawing>
          </mc:Choice>
          <mc:Fallback>
            <w:pict>
              <v:group w14:anchorId="6563FC0A" id="Group 23" o:spid="_x0000_s1043" style="width:233.6pt;height:35.05pt;mso-position-horizontal-relative:char;mso-position-vertical-relative:line" coordsize="29665,4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">
                <v:rect id="Rectangle 21215504" o:spid="_x0000_s1044" style="position:absolute;width:29665;height:44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" fillcolor="#dbebea" strokecolor="#0c1615 [484]" strokeweight="1.5pt"/>
                <v:rect id="Rectangle 2027525004" o:spid="_x0000_s1045" style="position:absolute;left:14954;top:655;width:13500;height:3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" fillcolor="#fc6" strokecolor="white [3212]" strokeweight="1pt">
                  <v:textbox inset="2.00228mm,2.00228mm,2.00228mm,2.00228mm">
                    <w:txbxContent>
                      <w:p w14:paraId="6D2F9B8A" w14:textId="77777777" w:rsidR="001B4FA0" w:rsidRDefault="001B4FA0" w:rsidP="001B4FA0">
                        <w:pPr>
                          <w:spacing w:after="92" w:line="216" w:lineRule="auto"/>
                          <w:jc w:val="center"/>
                          <w:rPr>
                            <w:rFonts w:hAnsi="Aptos"/>
                            <w:b/>
                            <w:color w:val="000000" w:themeColor="text1"/>
                            <w:kern w:val="24"/>
                            <w:sz w:val="22"/>
                            <w:szCs w:val="22"/>
                          </w:rPr>
                        </w:pPr>
                        <w:r>
                          <w:rPr>
                            <w:rFonts w:hAnsi="Aptos"/>
                            <w:b/>
                            <w:color w:val="000000" w:themeColor="text1"/>
                            <w:kern w:val="24"/>
                            <w:sz w:val="22"/>
                            <w:szCs w:val="22"/>
                          </w:rPr>
                          <w:t>Significant</w:t>
                        </w:r>
                      </w:p>
                    </w:txbxContent>
                  </v:textbox>
                </v:rect>
                <v:rect id="Rectangle 441376926" o:spid="_x0000_s1046" style="position:absolute;left:1034;top:655;width:13513;height:3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" fillcolor="#47928d" strokecolor="white [3212]" strokeweight="1pt">
                  <v:textbox inset="2.00228mm,2.00228mm,2.00228mm,2.00228mm">
                    <w:txbxContent>
                      <w:p w14:paraId="76453419" w14:textId="77777777" w:rsidR="001B4FA0" w:rsidRDefault="001B4FA0" w:rsidP="001B4FA0">
                        <w:pPr>
                          <w:spacing w:after="92" w:line="216" w:lineRule="auto"/>
                          <w:jc w:val="center"/>
                          <w:rPr>
                            <w:rFonts w:hAnsi="Aptos"/>
                            <w:b/>
                            <w:color w:val="FFFFFF" w:themeColor="background1"/>
                            <w:kern w:val="24"/>
                            <w:sz w:val="22"/>
                            <w:szCs w:val="22"/>
                          </w:rPr>
                        </w:pPr>
                        <w:r>
                          <w:rPr>
                            <w:rFonts w:hAnsi="Aptos"/>
                            <w:b/>
                            <w:color w:val="FFFFFF" w:themeColor="background1"/>
                            <w:kern w:val="24"/>
                            <w:sz w:val="22"/>
                            <w:szCs w:val="22"/>
                          </w:rPr>
                          <w:t>Adaptive Capacity</w:t>
                        </w:r>
                      </w:p>
                    </w:txbxContent>
                  </v:textbox>
                </v:rect>
                <w10:anchorlock/>
              </v:group>
            </w:pict>
          </mc:Fallback>
        </mc:AlternateContent>
      </w:r>
    </w:p>
    <w:p w14:paraId="49CA14AA" w14:textId="1B658C0F" w:rsidR="00A12C35" w:rsidRPr="00350368" w:rsidRDefault="00A12C35" w:rsidP="00A12C35">
      <w:pPr>
        <w:rPr>
          <w:lang w:val="en-GB"/>
        </w:rPr>
      </w:pPr>
      <w:r w:rsidRPr="00350368">
        <w:rPr>
          <w:lang w:val="en-GB"/>
        </w:rPr>
        <w:t>Adaptive capacity is supported mainly by national transport adaptation policy and established local flood-risk and emergency-planning arrangements.</w:t>
      </w:r>
    </w:p>
    <w:p w14:paraId="7D168655" w14:textId="4834E940" w:rsidR="004F6FE0" w:rsidRPr="00350368" w:rsidRDefault="004F6FE0" w:rsidP="004F6FE0">
      <w:pPr>
        <w:rPr>
          <w:lang w:val="en-GB"/>
        </w:rPr>
      </w:pPr>
      <w:r w:rsidRPr="00350368">
        <w:rPr>
          <w:lang w:val="en-GB"/>
        </w:rPr>
        <w:t>National arrangements include the Department for Transport’s Climate Adaptation Strategy for Transport</w:t>
      </w:r>
      <w:bookmarkStart w:id="7" w:name="_Ref241835838"/>
      <w:r w:rsidR="0093570D" w:rsidRPr="00350368">
        <w:rPr>
          <w:rStyle w:val="FootnoteReference"/>
          <w:lang w:val="en-GB"/>
        </w:rPr>
        <w:footnoteReference w:id="18"/>
      </w:r>
      <w:bookmarkEnd w:id="7"/>
      <w:r w:rsidRPr="00350368">
        <w:rPr>
          <w:lang w:val="en-GB"/>
        </w:rPr>
        <w:t>, climate-risk assessment guidance for ports and airports</w:t>
      </w:r>
      <w:r w:rsidR="003B36F4" w:rsidRPr="00350368">
        <w:rPr>
          <w:lang w:val="en-GB"/>
        </w:rPr>
        <w:fldChar w:fldCharType="begin"/>
      </w:r>
      <w:r w:rsidR="003B36F4" w:rsidRPr="00350368">
        <w:rPr>
          <w:lang w:val="en-GB"/>
        </w:rPr>
        <w:instrText xml:space="preserve"> NOTEREF _Ref241835636 \f \h </w:instrText>
      </w:r>
      <w:r w:rsidR="003B36F4" w:rsidRPr="00350368">
        <w:rPr>
          <w:lang w:val="en-GB"/>
        </w:rPr>
      </w:r>
      <w:r w:rsidR="003B36F4" w:rsidRPr="00350368">
        <w:rPr>
          <w:lang w:val="en-GB"/>
        </w:rPr>
        <w:fldChar w:fldCharType="separate"/>
      </w:r>
      <w:r w:rsidR="007103A1" w:rsidRPr="007103A1">
        <w:rPr>
          <w:rStyle w:val="FootnoteReference"/>
          <w:lang w:val="en-GB"/>
        </w:rPr>
        <w:t>14</w:t>
      </w:r>
      <w:r w:rsidR="003B36F4" w:rsidRPr="00350368">
        <w:rPr>
          <w:lang w:val="en-GB"/>
        </w:rPr>
        <w:fldChar w:fldCharType="end"/>
      </w:r>
      <w:r w:rsidRPr="00350368">
        <w:rPr>
          <w:lang w:val="en-GB"/>
        </w:rPr>
        <w:t>, Civil Aviation Authority risk assessment and action planning, and fourth-round Adaptation Reporting Power reports from aviation and port operators.</w:t>
      </w:r>
      <w:r w:rsidR="00AE446A" w:rsidRPr="00350368">
        <w:rPr>
          <w:rStyle w:val="FootnoteReference"/>
          <w:lang w:val="en-GB"/>
        </w:rPr>
        <w:footnoteReference w:id="19"/>
      </w:r>
      <w:r w:rsidRPr="00350368">
        <w:rPr>
          <w:lang w:val="en-GB"/>
        </w:rPr>
        <w:t xml:space="preserve"> </w:t>
      </w:r>
      <w:r w:rsidR="00AE446A" w:rsidRPr="00350368">
        <w:rPr>
          <w:lang w:val="en-GB"/>
        </w:rPr>
        <w:t xml:space="preserve"> </w:t>
      </w:r>
      <w:r w:rsidRPr="00350368">
        <w:rPr>
          <w:lang w:val="en-GB"/>
        </w:rPr>
        <w:t>The national strategy includes work on aviation awareness and planning, maritime disruption monitoring, interdependencies, resilience standards and sector collaboration.</w:t>
      </w:r>
      <w:r w:rsidR="006E00CE" w:rsidRPr="00350368">
        <w:rPr>
          <w:lang w:val="en-GB"/>
        </w:rPr>
        <w:fldChar w:fldCharType="begin"/>
      </w:r>
      <w:r w:rsidR="006E00CE" w:rsidRPr="00350368">
        <w:rPr>
          <w:lang w:val="en-GB"/>
        </w:rPr>
        <w:instrText xml:space="preserve"> NOTEREF _Ref241835838 \f \h </w:instrText>
      </w:r>
      <w:r w:rsidR="006E00CE" w:rsidRPr="00350368">
        <w:rPr>
          <w:lang w:val="en-GB"/>
        </w:rPr>
      </w:r>
      <w:r w:rsidR="006E00CE" w:rsidRPr="00350368">
        <w:rPr>
          <w:lang w:val="en-GB"/>
        </w:rPr>
        <w:fldChar w:fldCharType="separate"/>
      </w:r>
      <w:r w:rsidR="007103A1" w:rsidRPr="007103A1">
        <w:rPr>
          <w:rStyle w:val="FootnoteReference"/>
          <w:lang w:val="en-GB"/>
        </w:rPr>
        <w:t>18</w:t>
      </w:r>
      <w:r w:rsidR="006E00CE" w:rsidRPr="00350368">
        <w:rPr>
          <w:lang w:val="en-GB"/>
        </w:rPr>
        <w:fldChar w:fldCharType="end"/>
      </w:r>
      <w:r w:rsidRPr="00350368">
        <w:rPr>
          <w:lang w:val="en-GB"/>
        </w:rPr>
        <w:t xml:space="preserve"> </w:t>
      </w:r>
    </w:p>
    <w:p w14:paraId="642C5D5E" w14:textId="0902A325" w:rsidR="004F6FE0" w:rsidRPr="00350368" w:rsidRDefault="004F6FE0" w:rsidP="004F6FE0">
      <w:pPr>
        <w:rPr>
          <w:lang w:val="en-GB"/>
        </w:rPr>
      </w:pPr>
      <w:r w:rsidRPr="00350368">
        <w:rPr>
          <w:lang w:val="en-GB"/>
        </w:rPr>
        <w:t xml:space="preserve">Local capacity is strongest in flood-risk management and emergency preparedness. Calderdale, Leeds, Kirklees and Wakefield have Local Flood Risk Management Strategies, Lead Local Flood Authority responsibilities, planning controls, flood </w:t>
      </w:r>
      <w:r w:rsidRPr="00350368">
        <w:rPr>
          <w:lang w:val="en-GB"/>
        </w:rPr>
        <w:lastRenderedPageBreak/>
        <w:t>mapping and measures covering sustainable drainage, natural flood management, infrastructure maintenance and emergency response.</w:t>
      </w:r>
      <w:r w:rsidR="006E00CE" w:rsidRPr="00350368">
        <w:rPr>
          <w:lang w:val="en-GB"/>
        </w:rPr>
        <w:t xml:space="preserve"> </w:t>
      </w:r>
      <w:r w:rsidR="006E00CE" w:rsidRPr="007E0A82">
        <w:rPr>
          <w:vertAlign w:val="superscript"/>
          <w:lang w:val="en-GB"/>
        </w:rPr>
        <w:fldChar w:fldCharType="begin"/>
      </w:r>
      <w:r w:rsidR="006E00CE" w:rsidRPr="007E0A82">
        <w:rPr>
          <w:vertAlign w:val="superscript"/>
          <w:lang w:val="en-GB"/>
        </w:rPr>
        <w:instrText xml:space="preserve"> NOTEREF _Ref241835859 \f \h </w:instrText>
      </w:r>
      <w:r w:rsidR="007E0A82">
        <w:rPr>
          <w:vertAlign w:val="superscript"/>
          <w:lang w:val="en-GB"/>
        </w:rPr>
        <w:instrText xml:space="preserve"> \* MERGEFORMAT </w:instrText>
      </w:r>
      <w:r w:rsidR="006E00CE" w:rsidRPr="007E0A82">
        <w:rPr>
          <w:vertAlign w:val="superscript"/>
          <w:lang w:val="en-GB"/>
        </w:rPr>
      </w:r>
      <w:r w:rsidR="006E00CE" w:rsidRPr="007E0A82">
        <w:rPr>
          <w:vertAlign w:val="superscript"/>
          <w:lang w:val="en-GB"/>
        </w:rPr>
        <w:fldChar w:fldCharType="separate"/>
      </w:r>
      <w:r w:rsidR="007103A1" w:rsidRPr="007103A1">
        <w:rPr>
          <w:rStyle w:val="FootnoteReference"/>
          <w:lang w:val="en-GB"/>
        </w:rPr>
        <w:t>8</w:t>
      </w:r>
      <w:r w:rsidR="006E00CE" w:rsidRPr="007E0A82">
        <w:rPr>
          <w:vertAlign w:val="superscript"/>
          <w:lang w:val="en-GB"/>
        </w:rPr>
        <w:fldChar w:fldCharType="end"/>
      </w:r>
      <w:r w:rsidR="006E00CE" w:rsidRPr="007E0A82">
        <w:rPr>
          <w:vertAlign w:val="superscript"/>
          <w:lang w:val="en-GB"/>
        </w:rPr>
        <w:t>,</w:t>
      </w:r>
      <w:r w:rsidR="006E00CE" w:rsidRPr="007E0A82">
        <w:rPr>
          <w:vertAlign w:val="superscript"/>
          <w:lang w:val="en-GB"/>
        </w:rPr>
        <w:fldChar w:fldCharType="begin"/>
      </w:r>
      <w:r w:rsidR="006E00CE" w:rsidRPr="007E0A82">
        <w:rPr>
          <w:vertAlign w:val="superscript"/>
          <w:lang w:val="en-GB"/>
        </w:rPr>
        <w:instrText xml:space="preserve"> NOTEREF _Ref241835860 \f \h </w:instrText>
      </w:r>
      <w:r w:rsidR="007E0A82">
        <w:rPr>
          <w:vertAlign w:val="superscript"/>
          <w:lang w:val="en-GB"/>
        </w:rPr>
        <w:instrText xml:space="preserve"> \* MERGEFORMAT </w:instrText>
      </w:r>
      <w:r w:rsidR="006E00CE" w:rsidRPr="007E0A82">
        <w:rPr>
          <w:vertAlign w:val="superscript"/>
          <w:lang w:val="en-GB"/>
        </w:rPr>
      </w:r>
      <w:r w:rsidR="006E00CE" w:rsidRPr="007E0A82">
        <w:rPr>
          <w:vertAlign w:val="superscript"/>
          <w:lang w:val="en-GB"/>
        </w:rPr>
        <w:fldChar w:fldCharType="separate"/>
      </w:r>
      <w:r w:rsidR="007103A1" w:rsidRPr="007103A1">
        <w:rPr>
          <w:rStyle w:val="FootnoteReference"/>
          <w:lang w:val="en-GB"/>
        </w:rPr>
        <w:t>9</w:t>
      </w:r>
      <w:r w:rsidR="006E00CE" w:rsidRPr="007E0A82">
        <w:rPr>
          <w:vertAlign w:val="superscript"/>
          <w:lang w:val="en-GB"/>
        </w:rPr>
        <w:fldChar w:fldCharType="end"/>
      </w:r>
      <w:r w:rsidR="006E00CE" w:rsidRPr="007E0A82">
        <w:rPr>
          <w:vertAlign w:val="superscript"/>
          <w:lang w:val="en-GB"/>
        </w:rPr>
        <w:t>,</w:t>
      </w:r>
      <w:r w:rsidR="006E00CE" w:rsidRPr="007E0A82">
        <w:rPr>
          <w:vertAlign w:val="superscript"/>
          <w:lang w:val="en-GB"/>
        </w:rPr>
        <w:fldChar w:fldCharType="begin"/>
      </w:r>
      <w:r w:rsidR="006E00CE" w:rsidRPr="007E0A82">
        <w:rPr>
          <w:vertAlign w:val="superscript"/>
          <w:lang w:val="en-GB"/>
        </w:rPr>
        <w:instrText xml:space="preserve"> NOTEREF _Ref241835862 \f \h </w:instrText>
      </w:r>
      <w:r w:rsidR="007E0A82">
        <w:rPr>
          <w:vertAlign w:val="superscript"/>
          <w:lang w:val="en-GB"/>
        </w:rPr>
        <w:instrText xml:space="preserve"> \* MERGEFORMAT </w:instrText>
      </w:r>
      <w:r w:rsidR="006E00CE" w:rsidRPr="007E0A82">
        <w:rPr>
          <w:vertAlign w:val="superscript"/>
          <w:lang w:val="en-GB"/>
        </w:rPr>
      </w:r>
      <w:r w:rsidR="006E00CE" w:rsidRPr="007E0A82">
        <w:rPr>
          <w:vertAlign w:val="superscript"/>
          <w:lang w:val="en-GB"/>
        </w:rPr>
        <w:fldChar w:fldCharType="separate"/>
      </w:r>
      <w:r w:rsidR="007103A1" w:rsidRPr="007103A1">
        <w:rPr>
          <w:rStyle w:val="FootnoteReference"/>
          <w:lang w:val="en-GB"/>
        </w:rPr>
        <w:t>10</w:t>
      </w:r>
      <w:r w:rsidR="006E00CE" w:rsidRPr="007E0A82">
        <w:rPr>
          <w:vertAlign w:val="superscript"/>
          <w:lang w:val="en-GB"/>
        </w:rPr>
        <w:fldChar w:fldCharType="end"/>
      </w:r>
      <w:r w:rsidR="006E00CE" w:rsidRPr="007E0A82">
        <w:rPr>
          <w:vertAlign w:val="superscript"/>
          <w:lang w:val="en-GB"/>
        </w:rPr>
        <w:t>,</w:t>
      </w:r>
      <w:r w:rsidR="00177352" w:rsidRPr="007E0A82">
        <w:rPr>
          <w:rStyle w:val="FootnoteReference"/>
          <w:lang w:val="en-GB"/>
        </w:rPr>
        <w:footnoteReference w:id="20"/>
      </w:r>
      <w:r w:rsidRPr="00350368">
        <w:rPr>
          <w:lang w:val="en-GB"/>
        </w:rPr>
        <w:t xml:space="preserve">  The West Yorkshire Resilience Forum Annual Report 2023/24 describes a multi-agency Severe Weather Plan, training and exercises, risk assessment work and arrangements for coordinated emergency response.</w:t>
      </w:r>
      <w:r w:rsidR="00177352" w:rsidRPr="00350368">
        <w:rPr>
          <w:rStyle w:val="FootnoteReference"/>
          <w:lang w:val="en-GB"/>
        </w:rPr>
        <w:footnoteReference w:id="21"/>
      </w:r>
      <w:r w:rsidRPr="00350368">
        <w:rPr>
          <w:lang w:val="en-GB"/>
        </w:rPr>
        <w:t xml:space="preserve"> </w:t>
      </w:r>
    </w:p>
    <w:p w14:paraId="1506CDF8" w14:textId="502635B4" w:rsidR="004F6FE0" w:rsidRPr="00350368" w:rsidRDefault="00F970BB" w:rsidP="004F6FE0">
      <w:pPr>
        <w:rPr>
          <w:lang w:val="en-GB"/>
        </w:rPr>
      </w:pPr>
      <w:r w:rsidRPr="00350368">
        <w:rPr>
          <w:lang w:val="en-GB"/>
        </w:rPr>
        <w:t xml:space="preserve">Leeds Bradford Airport’s </w:t>
      </w:r>
      <w:r w:rsidR="006F5A2F" w:rsidRPr="00350368">
        <w:rPr>
          <w:lang w:val="en-GB"/>
        </w:rPr>
        <w:t>Sustainability Stra</w:t>
      </w:r>
      <w:r w:rsidR="00D17E90" w:rsidRPr="00350368">
        <w:rPr>
          <w:lang w:val="en-GB"/>
        </w:rPr>
        <w:t>t</w:t>
      </w:r>
      <w:r w:rsidR="006F5A2F" w:rsidRPr="00350368">
        <w:rPr>
          <w:lang w:val="en-GB"/>
        </w:rPr>
        <w:t>e</w:t>
      </w:r>
      <w:r w:rsidR="00D17E90" w:rsidRPr="00350368">
        <w:rPr>
          <w:lang w:val="en-GB"/>
        </w:rPr>
        <w:t>g</w:t>
      </w:r>
      <w:r w:rsidR="006F5A2F" w:rsidRPr="00350368">
        <w:rPr>
          <w:lang w:val="en-GB"/>
        </w:rPr>
        <w:t>y</w:t>
      </w:r>
      <w:r w:rsidRPr="00350368">
        <w:rPr>
          <w:lang w:val="en-GB"/>
        </w:rPr>
        <w:t xml:space="preserve"> refers to long-term resilience but does not publish an asset-level assessment of physical climate risks to the airport site.</w:t>
      </w:r>
      <w:r w:rsidRPr="00350368">
        <w:rPr>
          <w:rStyle w:val="FootnoteReference"/>
          <w:lang w:val="en-GB"/>
        </w:rPr>
        <w:footnoteReference w:id="22"/>
      </w:r>
      <w:r w:rsidRPr="00350368">
        <w:rPr>
          <w:lang w:val="en-GB"/>
        </w:rPr>
        <w:t xml:space="preserve"> In March 2026, the airport joined the Aire Resilience Company, which funds natural flood management across the wider River Aire catchment. This demonstrates support for regional catchment resilience, but the published announcement does not show how the airport’s runways, terminal, drainage, utilities or access routes are being adapted</w:t>
      </w:r>
      <w:r w:rsidR="004F6FE0" w:rsidRPr="00350368">
        <w:rPr>
          <w:lang w:val="en-GB"/>
        </w:rPr>
        <w:t>.</w:t>
      </w:r>
      <w:r w:rsidR="00DC6945" w:rsidRPr="00350368">
        <w:rPr>
          <w:rStyle w:val="FootnoteReference"/>
          <w:lang w:val="en-GB"/>
        </w:rPr>
        <w:footnoteReference w:id="23"/>
      </w:r>
      <w:r w:rsidR="004F6FE0" w:rsidRPr="00350368">
        <w:rPr>
          <w:lang w:val="en-GB"/>
        </w:rPr>
        <w:t xml:space="preserve"> </w:t>
      </w:r>
    </w:p>
    <w:p w14:paraId="1B4AD623" w14:textId="676C2AEC" w:rsidR="00A52039" w:rsidRPr="00350368" w:rsidRDefault="00BA7A91">
      <w:pPr>
        <w:rPr>
          <w:rFonts w:asciiTheme="majorHAnsi" w:eastAsiaTheme="majorEastAsia" w:hAnsiTheme="majorHAnsi" w:cstheme="majorBidi"/>
          <w:color w:val="3E706C" w:themeColor="accent1" w:themeShade="BF"/>
          <w:kern w:val="2"/>
          <w:sz w:val="40"/>
          <w:szCs w:val="40"/>
          <w:lang w:val="en-GB" w:eastAsia="en-US"/>
          <w14:ligatures w14:val="standardContextual"/>
        </w:rPr>
      </w:pPr>
      <w:r w:rsidRPr="00350368">
        <w:rPr>
          <w:lang w:val="en-GB"/>
        </w:rPr>
        <w:t>Nationally, t</w:t>
      </w:r>
      <w:r w:rsidR="004F6FE0" w:rsidRPr="00350368">
        <w:rPr>
          <w:lang w:val="en-GB"/>
        </w:rPr>
        <w:t>he CCRA4 assessment finds little evidence on the effectiveness of implemented adaptation for aviation, ports and inland waterways, and limited action addressing interdependencies with electricity, water, telecommunications, roads and rail.</w:t>
      </w:r>
      <w:r w:rsidRPr="00350368">
        <w:rPr>
          <w:lang w:val="en-GB"/>
        </w:rPr>
        <w:fldChar w:fldCharType="begin"/>
      </w:r>
      <w:r w:rsidRPr="00350368">
        <w:rPr>
          <w:lang w:val="en-GB"/>
        </w:rPr>
        <w:instrText xml:space="preserve"> NOTEREF _Ref241835430 \f \h </w:instrText>
      </w:r>
      <w:r w:rsidRPr="00350368">
        <w:rPr>
          <w:lang w:val="en-GB"/>
        </w:rPr>
      </w:r>
      <w:r w:rsidRPr="00350368">
        <w:rPr>
          <w:lang w:val="en-GB"/>
        </w:rPr>
        <w:fldChar w:fldCharType="separate"/>
      </w:r>
      <w:r w:rsidR="007103A1" w:rsidRPr="007103A1">
        <w:rPr>
          <w:rStyle w:val="FootnoteReference"/>
          <w:lang w:val="en-GB"/>
        </w:rPr>
        <w:t>5</w:t>
      </w:r>
      <w:r w:rsidRPr="00350368">
        <w:rPr>
          <w:lang w:val="en-GB"/>
        </w:rPr>
        <w:fldChar w:fldCharType="end"/>
      </w:r>
      <w:r w:rsidR="004F6FE0" w:rsidRPr="00350368">
        <w:rPr>
          <w:lang w:val="en-GB"/>
        </w:rPr>
        <w:t xml:space="preserve"> Public information on dedicated adaptation budgets, airport-specific hazard exposure, local waterway drought risk and the resilience of West Yorkshire’s port-dependent supply chains is also limited.</w:t>
      </w:r>
      <w:r w:rsidR="00DC6945" w:rsidRPr="00350368">
        <w:rPr>
          <w:lang w:val="en-GB"/>
        </w:rPr>
        <w:fldChar w:fldCharType="begin"/>
      </w:r>
      <w:r w:rsidR="00DC6945" w:rsidRPr="00350368">
        <w:rPr>
          <w:lang w:val="en-GB"/>
        </w:rPr>
        <w:instrText xml:space="preserve"> NOTEREF _Ref241835354 \f \h </w:instrText>
      </w:r>
      <w:r w:rsidR="00DC6945" w:rsidRPr="00350368">
        <w:rPr>
          <w:lang w:val="en-GB"/>
        </w:rPr>
      </w:r>
      <w:r w:rsidR="00DC6945" w:rsidRPr="00350368">
        <w:rPr>
          <w:lang w:val="en-GB"/>
        </w:rPr>
        <w:fldChar w:fldCharType="separate"/>
      </w:r>
      <w:r w:rsidR="007103A1" w:rsidRPr="007103A1">
        <w:rPr>
          <w:rStyle w:val="FootnoteReference"/>
          <w:lang w:val="en-GB"/>
        </w:rPr>
        <w:t>7</w:t>
      </w:r>
      <w:r w:rsidR="00DC6945" w:rsidRPr="00350368">
        <w:rPr>
          <w:lang w:val="en-GB"/>
        </w:rPr>
        <w:fldChar w:fldCharType="end"/>
      </w:r>
      <w:r w:rsidR="004F6FE0" w:rsidRPr="00350368">
        <w:rPr>
          <w:lang w:val="en-GB"/>
        </w:rPr>
        <w:t xml:space="preserve"> </w:t>
      </w:r>
      <w:r w:rsidR="00A52039" w:rsidRPr="00350368">
        <w:rPr>
          <w:lang w:val="en-GB"/>
        </w:rPr>
        <w:br w:type="page"/>
      </w:r>
    </w:p>
    <w:p w14:paraId="49491FF9" w14:textId="3D37A893" w:rsidR="00544ADD" w:rsidRPr="00350368" w:rsidRDefault="00544ADD" w:rsidP="00904F74">
      <w:pPr>
        <w:pStyle w:val="Heading1"/>
      </w:pPr>
      <w:bookmarkStart w:id="8" w:name="_Ref240961110"/>
      <w:r w:rsidRPr="00350368">
        <w:lastRenderedPageBreak/>
        <w:t>Annex: Scoring Matrix</w:t>
      </w:r>
      <w:bookmarkEnd w:id="8"/>
    </w:p>
    <w:p w14:paraId="2B0A4505" w14:textId="755A515C" w:rsidR="00767BEC" w:rsidRPr="00350368" w:rsidRDefault="00767BEC" w:rsidP="00767BEC">
      <w:pPr>
        <w:rPr>
          <w:lang w:val="en-GB"/>
        </w:rPr>
      </w:pPr>
      <w:r w:rsidRPr="00350368">
        <w:rPr>
          <w:lang w:val="en-GB"/>
        </w:rPr>
        <w:t>The scoring methodology uses the following formula to calculate overall vulnerability for each risk/opportunity area.</w:t>
      </w:r>
    </w:p>
    <w:p w14:paraId="46943FE9" w14:textId="341187CC" w:rsidR="00CF6FA0" w:rsidRPr="00350368" w:rsidRDefault="00CF6FA0" w:rsidP="00767BEC">
      <w:pPr>
        <w:rPr>
          <w:lang w:val="en-GB"/>
        </w:rPr>
      </w:pPr>
      <w:r w:rsidRPr="00350368">
        <w:rPr>
          <w:noProof/>
          <w:lang w:val="en-GB"/>
        </w:rPr>
        <mc:AlternateContent>
          <mc:Choice Requires="wpg">
            <w:drawing>
              <wp:inline distT="0" distB="0" distL="0" distR="0" wp14:anchorId="1F937620" wp14:editId="555CC75F">
                <wp:extent cx="5555226" cy="812990"/>
                <wp:effectExtent l="0" t="0" r="26670" b="25400"/>
                <wp:docPr id="66" name="Group 65">
                  <a:extLst xmlns:a="http://schemas.openxmlformats.org/drawingml/2006/main">
                    <a:ext uri="{FF2B5EF4-FFF2-40B4-BE49-F238E27FC236}">
                      <a16:creationId xmlns:a16="http://schemas.microsoft.com/office/drawing/2014/main" id="{A00B9FCA-1514-6A3D-63A3-7AE94BE43123}"/>
                    </a:ext>
                  </a:extLst>
                </wp:docPr>
                <wp:cNvGraphicFramePr/>
                <a:graphic xmlns:a="http://schemas.openxmlformats.org/drawingml/2006/main">
                  <a:graphicData uri="http://schemas.microsoft.com/office/word/2010/wordprocessingGroup">
                    <wpg:wgp>
                      <wpg:cNvGrpSpPr/>
                      <wpg:grpSpPr>
                        <a:xfrm>
                          <a:off x="0" y="0"/>
                          <a:ext cx="5555226" cy="812990"/>
                          <a:chOff x="0" y="0"/>
                          <a:chExt cx="5555226" cy="812990"/>
                        </a:xfrm>
                      </wpg:grpSpPr>
                      <wps:wsp>
                        <wps:cNvPr id="908785896" name="Rectangle 908785896">
                          <a:extLst>
                            <a:ext uri="{FF2B5EF4-FFF2-40B4-BE49-F238E27FC236}">
                              <a16:creationId xmlns:a16="http://schemas.microsoft.com/office/drawing/2014/main" id="{D5EED331-1BFC-9DCE-B3D3-C4FDF5DBEBAC}"/>
                            </a:ext>
                          </a:extLst>
                        </wps:cNvPr>
                        <wps:cNvSpPr/>
                        <wps:spPr>
                          <a:xfrm>
                            <a:off x="0" y="0"/>
                            <a:ext cx="5555226" cy="812990"/>
                          </a:xfrm>
                          <a:prstGeom prst="rect">
                            <a:avLst/>
                          </a:prstGeom>
                          <a:solidFill>
                            <a:srgbClr val="DBEBEA"/>
                          </a:solidFill>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233195421" name="Freeform: Shape 233195421">
                          <a:extLst>
                            <a:ext uri="{FF2B5EF4-FFF2-40B4-BE49-F238E27FC236}">
                              <a16:creationId xmlns:a16="http://schemas.microsoft.com/office/drawing/2014/main" id="{4446F68B-A691-95BE-D48F-39A00D15E5EA}"/>
                            </a:ext>
                          </a:extLst>
                        </wps:cNvPr>
                        <wps:cNvSpPr/>
                        <wps:spPr>
                          <a:xfrm>
                            <a:off x="1109171" y="175293"/>
                            <a:ext cx="462404" cy="462404"/>
                          </a:xfrm>
                          <a:custGeom>
                            <a:avLst/>
                            <a:gdLst>
                              <a:gd name="csX0" fmla="*/ 85519 w 645180"/>
                              <a:gd name="csY0" fmla="*/ 246717 h 645180"/>
                              <a:gd name="csX1" fmla="*/ 246717 w 645180"/>
                              <a:gd name="csY1" fmla="*/ 246717 h 645180"/>
                              <a:gd name="csX2" fmla="*/ 246717 w 645180"/>
                              <a:gd name="csY2" fmla="*/ 85519 h 645180"/>
                              <a:gd name="csX3" fmla="*/ 398463 w 645180"/>
                              <a:gd name="csY3" fmla="*/ 85519 h 645180"/>
                              <a:gd name="csX4" fmla="*/ 398463 w 645180"/>
                              <a:gd name="csY4" fmla="*/ 246717 h 645180"/>
                              <a:gd name="csX5" fmla="*/ 559661 w 645180"/>
                              <a:gd name="csY5" fmla="*/ 246717 h 645180"/>
                              <a:gd name="csX6" fmla="*/ 559661 w 645180"/>
                              <a:gd name="csY6" fmla="*/ 398463 h 645180"/>
                              <a:gd name="csX7" fmla="*/ 398463 w 645180"/>
                              <a:gd name="csY7" fmla="*/ 398463 h 645180"/>
                              <a:gd name="csX8" fmla="*/ 398463 w 645180"/>
                              <a:gd name="csY8" fmla="*/ 559661 h 645180"/>
                              <a:gd name="csX9" fmla="*/ 246717 w 645180"/>
                              <a:gd name="csY9" fmla="*/ 559661 h 645180"/>
                              <a:gd name="csX10" fmla="*/ 246717 w 645180"/>
                              <a:gd name="csY10" fmla="*/ 398463 h 645180"/>
                              <a:gd name="csX11" fmla="*/ 85519 w 645180"/>
                              <a:gd name="csY11" fmla="*/ 398463 h 645180"/>
                              <a:gd name="csX12" fmla="*/ 85519 w 645180"/>
                              <a:gd name="csY12" fmla="*/ 246717 h 64518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645180" h="645180">
                                <a:moveTo>
                                  <a:pt x="85519" y="246717"/>
                                </a:moveTo>
                                <a:lnTo>
                                  <a:pt x="246717" y="246717"/>
                                </a:lnTo>
                                <a:lnTo>
                                  <a:pt x="246717" y="85519"/>
                                </a:lnTo>
                                <a:lnTo>
                                  <a:pt x="398463" y="85519"/>
                                </a:lnTo>
                                <a:lnTo>
                                  <a:pt x="398463" y="246717"/>
                                </a:lnTo>
                                <a:lnTo>
                                  <a:pt x="559661" y="246717"/>
                                </a:lnTo>
                                <a:lnTo>
                                  <a:pt x="559661" y="398463"/>
                                </a:lnTo>
                                <a:lnTo>
                                  <a:pt x="398463" y="398463"/>
                                </a:lnTo>
                                <a:lnTo>
                                  <a:pt x="398463" y="559661"/>
                                </a:lnTo>
                                <a:lnTo>
                                  <a:pt x="246717" y="559661"/>
                                </a:lnTo>
                                <a:lnTo>
                                  <a:pt x="246717" y="398463"/>
                                </a:lnTo>
                                <a:lnTo>
                                  <a:pt x="85519" y="398463"/>
                                </a:lnTo>
                                <a:lnTo>
                                  <a:pt x="85519" y="246717"/>
                                </a:lnTo>
                                <a:close/>
                              </a:path>
                            </a:pathLst>
                          </a:custGeom>
                        </wps:spPr>
                        <wps:style>
                          <a:lnRef idx="0">
                            <a:schemeClr val="accent1">
                              <a:tint val="60000"/>
                              <a:hueOff val="0"/>
                              <a:satOff val="0"/>
                              <a:lumOff val="0"/>
                              <a:alphaOff val="0"/>
                            </a:schemeClr>
                          </a:lnRef>
                          <a:fillRef idx="1">
                            <a:schemeClr val="accent1">
                              <a:tint val="60000"/>
                              <a:hueOff val="0"/>
                              <a:satOff val="0"/>
                              <a:lumOff val="0"/>
                              <a:alphaOff val="0"/>
                            </a:schemeClr>
                          </a:fillRef>
                          <a:effectRef idx="0">
                            <a:schemeClr val="accent1">
                              <a:tint val="60000"/>
                              <a:hueOff val="0"/>
                              <a:satOff val="0"/>
                              <a:lumOff val="0"/>
                              <a:alphaOff val="0"/>
                            </a:schemeClr>
                          </a:effectRef>
                          <a:fontRef idx="minor">
                            <a:schemeClr val="lt1"/>
                          </a:fontRef>
                        </wps:style>
                        <wps:bodyPr spcFirstLastPara="0" vert="horz" wrap="square" lIns="85519" tIns="246717" rIns="85519" bIns="246717" numCol="1" spcCol="1270" anchor="ctr" anchorCtr="0">
                          <a:noAutofit/>
                        </wps:bodyPr>
                      </wps:wsp>
                      <wps:wsp>
                        <wps:cNvPr id="538539861" name="Freeform: Shape 538539861">
                          <a:extLst>
                            <a:ext uri="{FF2B5EF4-FFF2-40B4-BE49-F238E27FC236}">
                              <a16:creationId xmlns:a16="http://schemas.microsoft.com/office/drawing/2014/main" id="{7610F756-905C-2013-1835-A5E2C1E95B84}"/>
                            </a:ext>
                          </a:extLst>
                        </wps:cNvPr>
                        <wps:cNvSpPr/>
                        <wps:spPr>
                          <a:xfrm>
                            <a:off x="2561719" y="175293"/>
                            <a:ext cx="462404" cy="462404"/>
                          </a:xfrm>
                          <a:custGeom>
                            <a:avLst/>
                            <a:gdLst>
                              <a:gd name="csX0" fmla="*/ 85519 w 645180"/>
                              <a:gd name="csY0" fmla="*/ 246717 h 645180"/>
                              <a:gd name="csX1" fmla="*/ 559661 w 645180"/>
                              <a:gd name="csY1" fmla="*/ 246717 h 645180"/>
                              <a:gd name="csX2" fmla="*/ 559661 w 645180"/>
                              <a:gd name="csY2" fmla="*/ 398463 h 645180"/>
                              <a:gd name="csX3" fmla="*/ 85519 w 645180"/>
                              <a:gd name="csY3" fmla="*/ 398463 h 645180"/>
                              <a:gd name="csX4" fmla="*/ 85519 w 645180"/>
                              <a:gd name="csY4" fmla="*/ 246717 h 645180"/>
                            </a:gdLst>
                            <a:ahLst/>
                            <a:cxnLst>
                              <a:cxn ang="0">
                                <a:pos x="csX0" y="csY0"/>
                              </a:cxn>
                              <a:cxn ang="0">
                                <a:pos x="csX1" y="csY1"/>
                              </a:cxn>
                              <a:cxn ang="0">
                                <a:pos x="csX2" y="csY2"/>
                              </a:cxn>
                              <a:cxn ang="0">
                                <a:pos x="csX3" y="csY3"/>
                              </a:cxn>
                              <a:cxn ang="0">
                                <a:pos x="csX4" y="csY4"/>
                              </a:cxn>
                            </a:cxnLst>
                            <a:rect l="l" t="t" r="r" b="b"/>
                            <a:pathLst>
                              <a:path w="645180" h="645180">
                                <a:moveTo>
                                  <a:pt x="85519" y="246717"/>
                                </a:moveTo>
                                <a:lnTo>
                                  <a:pt x="559661" y="246717"/>
                                </a:lnTo>
                                <a:lnTo>
                                  <a:pt x="559661" y="398463"/>
                                </a:lnTo>
                                <a:lnTo>
                                  <a:pt x="85519" y="398463"/>
                                </a:lnTo>
                                <a:lnTo>
                                  <a:pt x="85519" y="246717"/>
                                </a:lnTo>
                                <a:close/>
                              </a:path>
                            </a:pathLst>
                          </a:custGeom>
                        </wps:spPr>
                        <wps:style>
                          <a:lnRef idx="0">
                            <a:schemeClr val="accent1">
                              <a:tint val="60000"/>
                              <a:hueOff val="0"/>
                              <a:satOff val="0"/>
                              <a:lumOff val="0"/>
                              <a:alphaOff val="0"/>
                            </a:schemeClr>
                          </a:lnRef>
                          <a:fillRef idx="1">
                            <a:schemeClr val="accent1">
                              <a:tint val="60000"/>
                              <a:hueOff val="0"/>
                              <a:satOff val="0"/>
                              <a:lumOff val="0"/>
                              <a:alphaOff val="0"/>
                            </a:schemeClr>
                          </a:fillRef>
                          <a:effectRef idx="0">
                            <a:schemeClr val="accent1">
                              <a:tint val="60000"/>
                              <a:hueOff val="0"/>
                              <a:satOff val="0"/>
                              <a:lumOff val="0"/>
                              <a:alphaOff val="0"/>
                            </a:schemeClr>
                          </a:effectRef>
                          <a:fontRef idx="minor">
                            <a:schemeClr val="lt1"/>
                          </a:fontRef>
                        </wps:style>
                        <wps:bodyPr spcFirstLastPara="0" vert="horz" wrap="square" lIns="85519" tIns="246717" rIns="85519" bIns="246717" numCol="1" spcCol="1270" anchor="ctr" anchorCtr="0">
                          <a:noAutofit/>
                        </wps:bodyPr>
                      </wps:wsp>
                      <wps:wsp>
                        <wps:cNvPr id="1932102927" name="Freeform: Shape 1932102927">
                          <a:extLst>
                            <a:ext uri="{FF2B5EF4-FFF2-40B4-BE49-F238E27FC236}">
                              <a16:creationId xmlns:a16="http://schemas.microsoft.com/office/drawing/2014/main" id="{AD093F38-814B-E925-7DEA-6FAFED9D91FD}"/>
                            </a:ext>
                          </a:extLst>
                        </wps:cNvPr>
                        <wps:cNvSpPr/>
                        <wps:spPr>
                          <a:xfrm>
                            <a:off x="4014266" y="175293"/>
                            <a:ext cx="462404" cy="462404"/>
                          </a:xfrm>
                          <a:custGeom>
                            <a:avLst/>
                            <a:gdLst>
                              <a:gd name="csX0" fmla="*/ 85519 w 645180"/>
                              <a:gd name="csY0" fmla="*/ 132907 h 645180"/>
                              <a:gd name="csX1" fmla="*/ 559661 w 645180"/>
                              <a:gd name="csY1" fmla="*/ 132907 h 645180"/>
                              <a:gd name="csX2" fmla="*/ 559661 w 645180"/>
                              <a:gd name="csY2" fmla="*/ 284653 h 645180"/>
                              <a:gd name="csX3" fmla="*/ 85519 w 645180"/>
                              <a:gd name="csY3" fmla="*/ 284653 h 645180"/>
                              <a:gd name="csX4" fmla="*/ 85519 w 645180"/>
                              <a:gd name="csY4" fmla="*/ 132907 h 645180"/>
                              <a:gd name="csX5" fmla="*/ 85519 w 645180"/>
                              <a:gd name="csY5" fmla="*/ 360527 h 645180"/>
                              <a:gd name="csX6" fmla="*/ 559661 w 645180"/>
                              <a:gd name="csY6" fmla="*/ 360527 h 645180"/>
                              <a:gd name="csX7" fmla="*/ 559661 w 645180"/>
                              <a:gd name="csY7" fmla="*/ 512273 h 645180"/>
                              <a:gd name="csX8" fmla="*/ 85519 w 645180"/>
                              <a:gd name="csY8" fmla="*/ 512273 h 645180"/>
                              <a:gd name="csX9" fmla="*/ 85519 w 645180"/>
                              <a:gd name="csY9" fmla="*/ 360527 h 64518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645180" h="645180">
                                <a:moveTo>
                                  <a:pt x="85519" y="132907"/>
                                </a:moveTo>
                                <a:lnTo>
                                  <a:pt x="559661" y="132907"/>
                                </a:lnTo>
                                <a:lnTo>
                                  <a:pt x="559661" y="284653"/>
                                </a:lnTo>
                                <a:lnTo>
                                  <a:pt x="85519" y="284653"/>
                                </a:lnTo>
                                <a:lnTo>
                                  <a:pt x="85519" y="132907"/>
                                </a:lnTo>
                                <a:close/>
                                <a:moveTo>
                                  <a:pt x="85519" y="360527"/>
                                </a:moveTo>
                                <a:lnTo>
                                  <a:pt x="559661" y="360527"/>
                                </a:lnTo>
                                <a:lnTo>
                                  <a:pt x="559661" y="512273"/>
                                </a:lnTo>
                                <a:lnTo>
                                  <a:pt x="85519" y="512273"/>
                                </a:lnTo>
                                <a:lnTo>
                                  <a:pt x="85519" y="360527"/>
                                </a:lnTo>
                                <a:close/>
                              </a:path>
                            </a:pathLst>
                          </a:custGeom>
                        </wps:spPr>
                        <wps:style>
                          <a:lnRef idx="0">
                            <a:schemeClr val="accent1">
                              <a:tint val="60000"/>
                              <a:hueOff val="0"/>
                              <a:satOff val="0"/>
                              <a:lumOff val="0"/>
                              <a:alphaOff val="0"/>
                            </a:schemeClr>
                          </a:lnRef>
                          <a:fillRef idx="1">
                            <a:schemeClr val="accent1">
                              <a:tint val="60000"/>
                              <a:hueOff val="0"/>
                              <a:satOff val="0"/>
                              <a:lumOff val="0"/>
                              <a:alphaOff val="0"/>
                            </a:schemeClr>
                          </a:fillRef>
                          <a:effectRef idx="0">
                            <a:schemeClr val="accent1">
                              <a:tint val="60000"/>
                              <a:hueOff val="0"/>
                              <a:satOff val="0"/>
                              <a:lumOff val="0"/>
                              <a:alphaOff val="0"/>
                            </a:schemeClr>
                          </a:effectRef>
                          <a:fontRef idx="minor">
                            <a:schemeClr val="lt1"/>
                          </a:fontRef>
                        </wps:style>
                        <wps:bodyPr spcFirstLastPara="0" vert="horz" wrap="square" lIns="85519" tIns="132907" rIns="85519" bIns="132907" numCol="1" spcCol="1270" anchor="ctr" anchorCtr="0">
                          <a:noAutofit/>
                        </wps:bodyPr>
                      </wps:wsp>
                      <wps:wsp>
                        <wps:cNvPr id="290703544" name="Rectangle 290703544">
                          <a:extLst>
                            <a:ext uri="{FF2B5EF4-FFF2-40B4-BE49-F238E27FC236}">
                              <a16:creationId xmlns:a16="http://schemas.microsoft.com/office/drawing/2014/main" id="{701DF5FB-77F2-B92B-CEE4-62315B47D559}"/>
                            </a:ext>
                          </a:extLst>
                        </wps:cNvPr>
                        <wps:cNvSpPr/>
                        <wps:spPr>
                          <a:xfrm>
                            <a:off x="118713" y="153857"/>
                            <a:ext cx="990773" cy="505276"/>
                          </a:xfrm>
                          <a:prstGeom prst="rect">
                            <a:avLst/>
                          </a:prstGeom>
                          <a:solidFill>
                            <a:srgbClr val="47928D"/>
                          </a:solidFill>
                          <a:ln w="12700">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78E8CC42" w14:textId="77777777" w:rsidR="00CF6FA0" w:rsidRDefault="00CF6FA0" w:rsidP="00CF6FA0">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Exposure</w:t>
                              </w:r>
                            </w:p>
                          </w:txbxContent>
                        </wps:txbx>
                        <wps:bodyPr spcFirstLastPara="0" vert="horz" wrap="square" lIns="72082" tIns="72082" rIns="72082" bIns="72082" numCol="1" spcCol="1270" anchor="ctr" anchorCtr="0">
                          <a:noAutofit/>
                        </wps:bodyPr>
                      </wps:wsp>
                      <wps:wsp>
                        <wps:cNvPr id="1647103832" name="Rectangle 1647103832">
                          <a:extLst>
                            <a:ext uri="{FF2B5EF4-FFF2-40B4-BE49-F238E27FC236}">
                              <a16:creationId xmlns:a16="http://schemas.microsoft.com/office/drawing/2014/main" id="{5367C04A-27EF-5B51-3191-B04D0CDC08F7}"/>
                            </a:ext>
                          </a:extLst>
                        </wps:cNvPr>
                        <wps:cNvSpPr/>
                        <wps:spPr>
                          <a:xfrm>
                            <a:off x="1571260" y="153857"/>
                            <a:ext cx="990773" cy="505276"/>
                          </a:xfrm>
                          <a:prstGeom prst="rect">
                            <a:avLst/>
                          </a:prstGeom>
                          <a:solidFill>
                            <a:srgbClr val="47928D"/>
                          </a:solidFill>
                          <a:ln w="12700">
                            <a:solidFill>
                              <a:schemeClr val="bg1"/>
                            </a:solidFill>
                          </a:ln>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txbx>
                          <w:txbxContent>
                            <w:p w14:paraId="5A055201" w14:textId="77777777" w:rsidR="00CF6FA0" w:rsidRDefault="00CF6FA0" w:rsidP="00CF6FA0">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Sensitivity</w:t>
                              </w:r>
                            </w:p>
                          </w:txbxContent>
                        </wps:txbx>
                        <wps:bodyPr spcFirstLastPara="0" vert="horz" wrap="square" lIns="72082" tIns="72082" rIns="72082" bIns="72082" numCol="1" spcCol="1270" anchor="ctr" anchorCtr="0">
                          <a:noAutofit/>
                        </wps:bodyPr>
                      </wps:wsp>
                      <wps:wsp>
                        <wps:cNvPr id="143056867" name="Rectangle 143056867">
                          <a:extLst>
                            <a:ext uri="{FF2B5EF4-FFF2-40B4-BE49-F238E27FC236}">
                              <a16:creationId xmlns:a16="http://schemas.microsoft.com/office/drawing/2014/main" id="{9C22BAA0-C828-5967-8774-82F4D8B4E963}"/>
                            </a:ext>
                          </a:extLst>
                        </wps:cNvPr>
                        <wps:cNvSpPr/>
                        <wps:spPr>
                          <a:xfrm>
                            <a:off x="3023808" y="153857"/>
                            <a:ext cx="990773" cy="505276"/>
                          </a:xfrm>
                          <a:prstGeom prst="rect">
                            <a:avLst/>
                          </a:prstGeom>
                          <a:solidFill>
                            <a:srgbClr val="47928D"/>
                          </a:solidFill>
                          <a:ln w="12700">
                            <a:solidFill>
                              <a:schemeClr val="bg1"/>
                            </a:solidFill>
                          </a:ln>
                        </wps:spPr>
                        <wps:style>
                          <a:lnRef idx="3">
                            <a:schemeClr val="lt1"/>
                          </a:lnRef>
                          <a:fillRef idx="1">
                            <a:schemeClr val="accent3"/>
                          </a:fillRef>
                          <a:effectRef idx="1">
                            <a:schemeClr val="accent3"/>
                          </a:effectRef>
                          <a:fontRef idx="minor">
                            <a:schemeClr val="lt1"/>
                          </a:fontRef>
                        </wps:style>
                        <wps:txbx>
                          <w:txbxContent>
                            <w:p w14:paraId="29EBF761" w14:textId="77777777" w:rsidR="00CF6FA0" w:rsidRDefault="00CF6FA0" w:rsidP="00CF6FA0">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Adaptive Capacity</w:t>
                              </w:r>
                            </w:p>
                          </w:txbxContent>
                        </wps:txbx>
                        <wps:bodyPr spcFirstLastPara="0" vert="horz" wrap="square" lIns="72082" tIns="72082" rIns="72082" bIns="72082" numCol="1" spcCol="1270" anchor="ctr" anchorCtr="0">
                          <a:noAutofit/>
                        </wps:bodyPr>
                      </wps:wsp>
                      <wps:wsp>
                        <wps:cNvPr id="1056809561" name="Rectangle 1056809561">
                          <a:extLst>
                            <a:ext uri="{FF2B5EF4-FFF2-40B4-BE49-F238E27FC236}">
                              <a16:creationId xmlns:a16="http://schemas.microsoft.com/office/drawing/2014/main" id="{76076672-7CBD-9103-CC42-EB2AE9915CE6}"/>
                            </a:ext>
                          </a:extLst>
                        </wps:cNvPr>
                        <wps:cNvSpPr/>
                        <wps:spPr>
                          <a:xfrm>
                            <a:off x="4476354" y="153857"/>
                            <a:ext cx="990382" cy="505276"/>
                          </a:xfrm>
                          <a:prstGeom prst="rect">
                            <a:avLst/>
                          </a:prstGeom>
                          <a:solidFill>
                            <a:srgbClr val="47928D"/>
                          </a:solidFill>
                          <a:ln w="12700">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6A1BBC0D" w14:textId="77777777" w:rsidR="00CF6FA0" w:rsidRDefault="00CF6FA0" w:rsidP="00CF6FA0">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Overall Vulnerability</w:t>
                              </w:r>
                            </w:p>
                          </w:txbxContent>
                        </wps:txbx>
                        <wps:bodyPr spcFirstLastPara="0" vert="horz" wrap="square" lIns="72082" tIns="72082" rIns="72082" bIns="72082" numCol="1" spcCol="1270" anchor="ctr" anchorCtr="0">
                          <a:noAutofit/>
                        </wps:bodyPr>
                      </wps:wsp>
                    </wpg:wgp>
                  </a:graphicData>
                </a:graphic>
              </wp:inline>
            </w:drawing>
          </mc:Choice>
          <mc:Fallback>
            <w:pict>
              <v:group w14:anchorId="1F937620" id="Group 65" o:spid="_x0000_s1047" style="width:437.4pt;height:64pt;mso-position-horizontal-relative:char;mso-position-vertical-relative:line" coordsize="55552,8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">
                <v:rect id="Rectangle 908785896" o:spid="_x0000_s1048" style="position:absolute;width:55552;height:81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" fillcolor="#dbebea" strokecolor="#0c1615 [484]" strokeweight="1.5pt"/>
                <v:shape id="Freeform: Shape 233195421" o:spid="_x0000_s1049" style="position:absolute;left:11091;top:1752;width:4624;height:4624;visibility:visible;mso-wrap-style:square;v-text-anchor:middle" coordsize="645180,6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" path="m85519,246717r161198,l246717,85519r151746,l398463,246717r161198,l559661,398463r-161198,l398463,559661r-151746,l246717,398463r-161198,l85519,246717xe" fillcolor="#94c4bf [1940]" stroked="f">
                  <v:path arrowok="t" o:connecttype="custom" o:connectlocs="61292,176823;176823,176823;176823,61292;285581,61292;285581,176823;401112,176823;401112,285581;285581,285581;285581,401112;176823,401112;176823,285581;61292,285581;61292,176823" o:connectangles="0,0,0,0,0,0,0,0,0,0,0,0,0"/>
                </v:shape>
                <v:shape id="Freeform: Shape 538539861" o:spid="_x0000_s1050" style="position:absolute;left:25617;top:1752;width:4624;height:4624;visibility:visible;mso-wrap-style:square;v-text-anchor:middle" coordsize="645180,6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" path="m85519,246717r474142,l559661,398463r-474142,l85519,246717xe" fillcolor="#94c4bf [1940]" stroked="f">
                  <v:path arrowok="t" o:connecttype="custom" o:connectlocs="61292,176823;401112,176823;401112,285581;61292,285581;61292,176823" o:connectangles="0,0,0,0,0"/>
                </v:shape>
                <v:shape id="Freeform: Shape 1932102927" o:spid="_x0000_s1051" style="position:absolute;left:40142;top:1752;width:4624;height:4624;visibility:visible;mso-wrap-style:square;v-text-anchor:middle" coordsize="645180,6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" path="m85519,132907r474142,l559661,284653r-474142,l85519,132907xm85519,360527r474142,l559661,512273r-474142,l85519,360527xe" fillcolor="#94c4bf [1940]" stroked="f">
                  <v:path arrowok="t" o:connecttype="custom" o:connectlocs="61292,95255;401112,95255;401112,204012;61292,204012;61292,95255;61292,258392;401112,258392;401112,367149;61292,367149;61292,258392" o:connectangles="0,0,0,0,0,0,0,0,0,0"/>
                </v:shape>
                <v:rect id="Rectangle 290703544" o:spid="_x0000_s1052" style="position:absolute;left:1187;top:1538;width:9907;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" fillcolor="#47928d" strokecolor="white [3212]" strokeweight="1pt">
                  <v:textbox inset="2.00228mm,2.00228mm,2.00228mm,2.00228mm">
                    <w:txbxContent>
                      <w:p w14:paraId="78E8CC42" w14:textId="77777777" w:rsidR="00CF6FA0" w:rsidRDefault="00CF6FA0" w:rsidP="00CF6FA0">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Exposure</w:t>
                        </w:r>
                      </w:p>
                    </w:txbxContent>
                  </v:textbox>
                </v:rect>
                <v:rect id="Rectangle 1647103832" o:spid="_x0000_s1053" style="position:absolute;left:15712;top:1538;width:9908;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" fillcolor="#47928d" strokecolor="white [3212]" strokeweight="1pt">
                  <v:textbox inset="2.00228mm,2.00228mm,2.00228mm,2.00228mm">
                    <w:txbxContent>
                      <w:p w14:paraId="5A055201" w14:textId="77777777" w:rsidR="00CF6FA0" w:rsidRDefault="00CF6FA0" w:rsidP="00CF6FA0">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Sensitivity</w:t>
                        </w:r>
                      </w:p>
                    </w:txbxContent>
                  </v:textbox>
                </v:rect>
                <v:rect id="Rectangle 143056867" o:spid="_x0000_s1054" style="position:absolute;left:30238;top:1538;width:9907;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" fillcolor="#47928d" strokecolor="white [3212]" strokeweight="1pt">
                  <v:textbox inset="2.00228mm,2.00228mm,2.00228mm,2.00228mm">
                    <w:txbxContent>
                      <w:p w14:paraId="29EBF761" w14:textId="77777777" w:rsidR="00CF6FA0" w:rsidRDefault="00CF6FA0" w:rsidP="00CF6FA0">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Adaptive Capacity</w:t>
                        </w:r>
                      </w:p>
                    </w:txbxContent>
                  </v:textbox>
                </v:rect>
                <v:rect id="Rectangle 1056809561" o:spid="_x0000_s1055" style="position:absolute;left:44763;top:1538;width:9904;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" fillcolor="#47928d" strokecolor="white [3212]" strokeweight="1pt">
                  <v:textbox inset="2.00228mm,2.00228mm,2.00228mm,2.00228mm">
                    <w:txbxContent>
                      <w:p w14:paraId="6A1BBC0D" w14:textId="77777777" w:rsidR="00CF6FA0" w:rsidRDefault="00CF6FA0" w:rsidP="00CF6FA0">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Overall Vulnerability</w:t>
                        </w:r>
                      </w:p>
                    </w:txbxContent>
                  </v:textbox>
                </v:rect>
                <w10:anchorlock/>
              </v:group>
            </w:pict>
          </mc:Fallback>
        </mc:AlternateContent>
      </w:r>
    </w:p>
    <w:p w14:paraId="2441343B" w14:textId="5E3FB9EE" w:rsidR="00544ADD" w:rsidRPr="00350368" w:rsidRDefault="00767BEC" w:rsidP="00767BEC">
      <w:pPr>
        <w:rPr>
          <w:lang w:val="en-GB"/>
        </w:rPr>
      </w:pPr>
      <w:r w:rsidRPr="00350368">
        <w:rPr>
          <w:lang w:val="en-GB"/>
        </w:rPr>
        <w:t xml:space="preserve">Exposure, sensitivity and adaptive capacity are scored on a scale of 0-3 (see below). </w:t>
      </w:r>
    </w:p>
    <w:p w14:paraId="711F12E3" w14:textId="77777777" w:rsidR="00544ADD" w:rsidRPr="00350368" w:rsidRDefault="00544ADD" w:rsidP="00904F74">
      <w:pPr>
        <w:pStyle w:val="Heading2"/>
      </w:pPr>
      <w:r w:rsidRPr="00350368">
        <w:t>Exposure</w:t>
      </w:r>
      <w:r w:rsidRPr="00350368">
        <w:tab/>
      </w:r>
    </w:p>
    <w:p w14:paraId="757CF0DD" w14:textId="1F9CCE87" w:rsidR="004016F6" w:rsidRPr="00350368" w:rsidRDefault="00544ADD" w:rsidP="00544ADD">
      <w:pPr>
        <w:rPr>
          <w:lang w:val="en-GB"/>
        </w:rPr>
      </w:pPr>
      <w:r w:rsidRPr="00350368">
        <w:rPr>
          <w:lang w:val="en-GB"/>
        </w:rPr>
        <w:t>The presence of people, livelihoods, species or ecosystems, environmental functions, services, and resources, infrastructure, or economic, social, or cultural assets in places and settings that could be adversely affected.</w:t>
      </w:r>
    </w:p>
    <w:tbl>
      <w:tblPr>
        <w:tblW w:w="5000" w:type="pct"/>
        <w:tblLayout w:type="fixed"/>
        <w:tblLook w:val="04A0" w:firstRow="1" w:lastRow="0" w:firstColumn="1" w:lastColumn="0" w:noHBand="0" w:noVBand="1"/>
      </w:tblPr>
      <w:tblGrid>
        <w:gridCol w:w="983"/>
        <w:gridCol w:w="1560"/>
        <w:gridCol w:w="4260"/>
        <w:gridCol w:w="2203"/>
      </w:tblGrid>
      <w:tr w:rsidR="004016F6" w:rsidRPr="00350368" w14:paraId="7349394F" w14:textId="77777777" w:rsidTr="00904F74">
        <w:trPr>
          <w:trHeight w:val="300"/>
          <w:tblHeader/>
        </w:trPr>
        <w:tc>
          <w:tcPr>
            <w:tcW w:w="546" w:type="pct"/>
            <w:tcBorders>
              <w:top w:val="single" w:sz="8" w:space="0" w:color="47928D"/>
              <w:left w:val="single" w:sz="8" w:space="0" w:color="47928D"/>
              <w:bottom w:val="single" w:sz="8" w:space="0" w:color="47928D"/>
              <w:right w:val="nil"/>
            </w:tcBorders>
            <w:shd w:val="clear" w:color="000000" w:fill="47928D"/>
            <w:noWrap/>
            <w:vAlign w:val="center"/>
            <w:hideMark/>
          </w:tcPr>
          <w:p w14:paraId="5A561061" w14:textId="77777777" w:rsidR="004016F6" w:rsidRPr="00350368" w:rsidRDefault="004016F6" w:rsidP="004016F6">
            <w:pPr>
              <w:spacing w:after="0" w:line="240" w:lineRule="auto"/>
              <w:rPr>
                <w:rFonts w:ascii="Aptos" w:eastAsia="Times New Roman" w:hAnsi="Aptos" w:cs="Times New Roman"/>
                <w:b/>
                <w:bCs/>
                <w:color w:val="FFFFFF"/>
                <w:lang w:val="en-GB" w:eastAsia="en-GB"/>
              </w:rPr>
            </w:pPr>
            <w:r w:rsidRPr="00350368">
              <w:rPr>
                <w:rFonts w:ascii="Aptos" w:eastAsia="Times New Roman" w:hAnsi="Aptos" w:cs="Times New Roman"/>
                <w:b/>
                <w:bCs/>
                <w:color w:val="FFFFFF"/>
                <w:lang w:val="en-GB" w:eastAsia="en-GB"/>
              </w:rPr>
              <w:t>Score</w:t>
            </w:r>
          </w:p>
        </w:tc>
        <w:tc>
          <w:tcPr>
            <w:tcW w:w="866" w:type="pct"/>
            <w:tcBorders>
              <w:top w:val="single" w:sz="8" w:space="0" w:color="47928D"/>
              <w:left w:val="nil"/>
              <w:bottom w:val="single" w:sz="8" w:space="0" w:color="47928D"/>
              <w:right w:val="nil"/>
            </w:tcBorders>
            <w:shd w:val="clear" w:color="000000" w:fill="47928D"/>
            <w:noWrap/>
            <w:vAlign w:val="center"/>
            <w:hideMark/>
          </w:tcPr>
          <w:p w14:paraId="32BF2F09" w14:textId="77777777" w:rsidR="004016F6" w:rsidRPr="00350368" w:rsidRDefault="004016F6" w:rsidP="004016F6">
            <w:pPr>
              <w:spacing w:after="0" w:line="240" w:lineRule="auto"/>
              <w:rPr>
                <w:rFonts w:ascii="Aptos" w:eastAsia="Times New Roman" w:hAnsi="Aptos" w:cs="Times New Roman"/>
                <w:b/>
                <w:bCs/>
                <w:color w:val="FFFFFF"/>
                <w:lang w:val="en-GB" w:eastAsia="en-GB"/>
              </w:rPr>
            </w:pPr>
            <w:r w:rsidRPr="00350368">
              <w:rPr>
                <w:rFonts w:ascii="Aptos" w:eastAsia="Times New Roman" w:hAnsi="Aptos" w:cs="Times New Roman"/>
                <w:b/>
                <w:bCs/>
                <w:color w:val="FFFFFF"/>
                <w:lang w:val="en-GB" w:eastAsia="en-GB"/>
              </w:rPr>
              <w:t>Rating</w:t>
            </w:r>
          </w:p>
        </w:tc>
        <w:tc>
          <w:tcPr>
            <w:tcW w:w="2365" w:type="pct"/>
            <w:tcBorders>
              <w:top w:val="single" w:sz="8" w:space="0" w:color="47928D"/>
              <w:left w:val="nil"/>
              <w:bottom w:val="single" w:sz="8" w:space="0" w:color="47928D"/>
              <w:right w:val="single" w:sz="8" w:space="0" w:color="47928D"/>
            </w:tcBorders>
            <w:shd w:val="clear" w:color="000000" w:fill="47928D"/>
            <w:noWrap/>
            <w:vAlign w:val="center"/>
            <w:hideMark/>
          </w:tcPr>
          <w:p w14:paraId="6B7C2A62" w14:textId="77777777" w:rsidR="004016F6" w:rsidRPr="00350368" w:rsidRDefault="004016F6" w:rsidP="004016F6">
            <w:pPr>
              <w:spacing w:after="0" w:line="240" w:lineRule="auto"/>
              <w:rPr>
                <w:rFonts w:ascii="Aptos" w:eastAsia="Times New Roman" w:hAnsi="Aptos" w:cs="Times New Roman"/>
                <w:b/>
                <w:bCs/>
                <w:color w:val="FFFFFF"/>
                <w:lang w:val="en-GB" w:eastAsia="en-GB"/>
              </w:rPr>
            </w:pPr>
            <w:r w:rsidRPr="00350368">
              <w:rPr>
                <w:rFonts w:ascii="Aptos" w:eastAsia="Times New Roman" w:hAnsi="Aptos" w:cs="Times New Roman"/>
                <w:b/>
                <w:bCs/>
                <w:color w:val="FFFFFF"/>
                <w:lang w:val="en-GB" w:eastAsia="en-GB"/>
              </w:rPr>
              <w:t>Description</w:t>
            </w:r>
          </w:p>
        </w:tc>
        <w:tc>
          <w:tcPr>
            <w:tcW w:w="1224" w:type="pct"/>
            <w:tcBorders>
              <w:top w:val="single" w:sz="8" w:space="0" w:color="47928D"/>
              <w:left w:val="nil"/>
              <w:bottom w:val="single" w:sz="8" w:space="0" w:color="47928D"/>
              <w:right w:val="single" w:sz="8" w:space="0" w:color="47928D"/>
            </w:tcBorders>
            <w:shd w:val="clear" w:color="000000" w:fill="47928D"/>
            <w:noWrap/>
            <w:vAlign w:val="center"/>
            <w:hideMark/>
          </w:tcPr>
          <w:p w14:paraId="1572E1B2" w14:textId="77777777" w:rsidR="004016F6" w:rsidRPr="00350368" w:rsidRDefault="004016F6" w:rsidP="004016F6">
            <w:pPr>
              <w:spacing w:after="0" w:line="240" w:lineRule="auto"/>
              <w:rPr>
                <w:rFonts w:ascii="Aptos" w:eastAsia="Times New Roman" w:hAnsi="Aptos" w:cs="Times New Roman"/>
                <w:b/>
                <w:bCs/>
                <w:color w:val="FFFFFF"/>
                <w:lang w:val="en-GB" w:eastAsia="en-GB"/>
              </w:rPr>
            </w:pPr>
            <w:r w:rsidRPr="00350368">
              <w:rPr>
                <w:rFonts w:ascii="Aptos" w:eastAsia="Times New Roman" w:hAnsi="Aptos" w:cs="Times New Roman"/>
                <w:b/>
                <w:bCs/>
                <w:color w:val="FFFFFF"/>
                <w:lang w:val="en-GB" w:eastAsia="en-GB"/>
              </w:rPr>
              <w:t>Area or System exposed</w:t>
            </w:r>
          </w:p>
        </w:tc>
      </w:tr>
      <w:tr w:rsidR="004016F6" w:rsidRPr="00350368" w14:paraId="18B54490" w14:textId="77777777" w:rsidTr="00904F74">
        <w:trPr>
          <w:trHeight w:val="300"/>
        </w:trPr>
        <w:tc>
          <w:tcPr>
            <w:tcW w:w="546" w:type="pct"/>
            <w:tcBorders>
              <w:top w:val="nil"/>
              <w:left w:val="single" w:sz="8" w:space="0" w:color="49938D"/>
              <w:bottom w:val="single" w:sz="8" w:space="0" w:color="49938D"/>
              <w:right w:val="single" w:sz="8" w:space="0" w:color="49938D"/>
            </w:tcBorders>
            <w:shd w:val="clear" w:color="000000" w:fill="FF0000"/>
            <w:noWrap/>
            <w:vAlign w:val="center"/>
            <w:hideMark/>
          </w:tcPr>
          <w:p w14:paraId="5B288F1F" w14:textId="77777777" w:rsidR="004016F6" w:rsidRPr="00350368" w:rsidRDefault="004016F6" w:rsidP="004016F6">
            <w:pPr>
              <w:spacing w:after="0" w:line="240" w:lineRule="auto"/>
              <w:jc w:val="center"/>
              <w:rPr>
                <w:rFonts w:ascii="Aptos" w:eastAsia="Times New Roman" w:hAnsi="Aptos" w:cs="Times New Roman"/>
                <w:b/>
                <w:bCs/>
                <w:color w:val="000000"/>
                <w:lang w:val="en-GB" w:eastAsia="en-GB"/>
              </w:rPr>
            </w:pPr>
            <w:r w:rsidRPr="00350368">
              <w:rPr>
                <w:rFonts w:ascii="Aptos" w:eastAsia="Times New Roman" w:hAnsi="Aptos" w:cs="Times New Roman"/>
                <w:b/>
                <w:bCs/>
                <w:color w:val="000000"/>
                <w:lang w:val="en-GB" w:eastAsia="en-GB"/>
              </w:rPr>
              <w:t>3</w:t>
            </w:r>
          </w:p>
        </w:tc>
        <w:tc>
          <w:tcPr>
            <w:tcW w:w="866" w:type="pct"/>
            <w:tcBorders>
              <w:top w:val="nil"/>
              <w:left w:val="nil"/>
              <w:bottom w:val="single" w:sz="8" w:space="0" w:color="49938D"/>
              <w:right w:val="single" w:sz="8" w:space="0" w:color="49938D"/>
            </w:tcBorders>
            <w:noWrap/>
            <w:vAlign w:val="center"/>
            <w:hideMark/>
          </w:tcPr>
          <w:p w14:paraId="3E07892E" w14:textId="77777777" w:rsidR="004016F6" w:rsidRPr="00350368" w:rsidRDefault="004016F6" w:rsidP="004016F6">
            <w:pPr>
              <w:spacing w:after="0" w:line="240" w:lineRule="auto"/>
              <w:rPr>
                <w:rFonts w:ascii="Aptos" w:eastAsia="Times New Roman" w:hAnsi="Aptos" w:cs="Times New Roman"/>
                <w:color w:val="000000"/>
                <w:lang w:val="en-GB" w:eastAsia="en-GB"/>
              </w:rPr>
            </w:pPr>
            <w:r w:rsidRPr="00350368">
              <w:rPr>
                <w:rFonts w:ascii="Aptos" w:eastAsia="Times New Roman" w:hAnsi="Aptos" w:cs="Times New Roman"/>
                <w:color w:val="000000"/>
                <w:lang w:val="en-GB" w:eastAsia="en-GB"/>
              </w:rPr>
              <w:t>High</w:t>
            </w:r>
          </w:p>
        </w:tc>
        <w:tc>
          <w:tcPr>
            <w:tcW w:w="2365" w:type="pct"/>
            <w:tcBorders>
              <w:top w:val="nil"/>
              <w:left w:val="nil"/>
              <w:bottom w:val="single" w:sz="8" w:space="0" w:color="49938D"/>
              <w:right w:val="single" w:sz="8" w:space="0" w:color="49938D"/>
            </w:tcBorders>
            <w:noWrap/>
            <w:vAlign w:val="center"/>
            <w:hideMark/>
          </w:tcPr>
          <w:p w14:paraId="42267949" w14:textId="77777777" w:rsidR="004016F6" w:rsidRPr="00350368" w:rsidRDefault="004016F6" w:rsidP="004016F6">
            <w:pPr>
              <w:spacing w:after="0" w:line="240" w:lineRule="auto"/>
              <w:rPr>
                <w:rFonts w:ascii="Aptos" w:eastAsia="Times New Roman" w:hAnsi="Aptos" w:cs="Times New Roman"/>
                <w:color w:val="000000"/>
                <w:lang w:val="en-GB" w:eastAsia="en-GB"/>
              </w:rPr>
            </w:pPr>
            <w:r w:rsidRPr="00350368">
              <w:rPr>
                <w:rFonts w:ascii="Aptos" w:eastAsia="Times New Roman" w:hAnsi="Aptos" w:cs="Times New Roman"/>
                <w:color w:val="000000"/>
                <w:lang w:val="en-GB" w:eastAsia="en-GB"/>
              </w:rPr>
              <w:t>50-100% of affected area/system expose to climate hazards</w:t>
            </w:r>
          </w:p>
        </w:tc>
        <w:tc>
          <w:tcPr>
            <w:tcW w:w="1224" w:type="pct"/>
            <w:tcBorders>
              <w:top w:val="nil"/>
              <w:left w:val="nil"/>
              <w:bottom w:val="single" w:sz="8" w:space="0" w:color="49938D"/>
              <w:right w:val="single" w:sz="8" w:space="0" w:color="49938D"/>
            </w:tcBorders>
            <w:noWrap/>
            <w:vAlign w:val="center"/>
            <w:hideMark/>
          </w:tcPr>
          <w:p w14:paraId="5907BB9C" w14:textId="77777777" w:rsidR="004016F6" w:rsidRPr="00350368" w:rsidRDefault="004016F6" w:rsidP="004016F6">
            <w:pPr>
              <w:spacing w:after="0" w:line="240" w:lineRule="auto"/>
              <w:rPr>
                <w:rFonts w:ascii="Aptos" w:eastAsia="Times New Roman" w:hAnsi="Aptos" w:cs="Times New Roman"/>
                <w:color w:val="000000"/>
                <w:lang w:val="en-GB" w:eastAsia="en-GB"/>
              </w:rPr>
            </w:pPr>
            <w:r w:rsidRPr="00350368">
              <w:rPr>
                <w:rFonts w:ascii="Aptos" w:eastAsia="Times New Roman" w:hAnsi="Aptos" w:cs="Times New Roman"/>
                <w:color w:val="000000"/>
                <w:lang w:val="en-GB" w:eastAsia="en-GB"/>
              </w:rPr>
              <w:t>50-100%</w:t>
            </w:r>
          </w:p>
        </w:tc>
      </w:tr>
      <w:tr w:rsidR="004016F6" w:rsidRPr="00350368" w14:paraId="365AC44A" w14:textId="77777777" w:rsidTr="00904F74">
        <w:trPr>
          <w:trHeight w:val="300"/>
        </w:trPr>
        <w:tc>
          <w:tcPr>
            <w:tcW w:w="546" w:type="pct"/>
            <w:tcBorders>
              <w:top w:val="nil"/>
              <w:left w:val="single" w:sz="8" w:space="0" w:color="49938D"/>
              <w:bottom w:val="single" w:sz="8" w:space="0" w:color="49938D"/>
              <w:right w:val="single" w:sz="8" w:space="0" w:color="49938D"/>
            </w:tcBorders>
            <w:shd w:val="clear" w:color="000000" w:fill="FF6600"/>
            <w:noWrap/>
            <w:vAlign w:val="center"/>
            <w:hideMark/>
          </w:tcPr>
          <w:p w14:paraId="7D140992" w14:textId="77777777" w:rsidR="004016F6" w:rsidRPr="00350368" w:rsidRDefault="004016F6" w:rsidP="004016F6">
            <w:pPr>
              <w:spacing w:after="0" w:line="240" w:lineRule="auto"/>
              <w:jc w:val="center"/>
              <w:rPr>
                <w:rFonts w:ascii="Aptos" w:eastAsia="Times New Roman" w:hAnsi="Aptos" w:cs="Times New Roman"/>
                <w:b/>
                <w:bCs/>
                <w:color w:val="000000"/>
                <w:lang w:val="en-GB" w:eastAsia="en-GB"/>
              </w:rPr>
            </w:pPr>
            <w:r w:rsidRPr="00350368">
              <w:rPr>
                <w:rFonts w:ascii="Aptos" w:eastAsia="Times New Roman" w:hAnsi="Aptos" w:cs="Times New Roman"/>
                <w:b/>
                <w:bCs/>
                <w:color w:val="000000"/>
                <w:lang w:val="en-GB" w:eastAsia="en-GB"/>
              </w:rPr>
              <w:t>2</w:t>
            </w:r>
          </w:p>
        </w:tc>
        <w:tc>
          <w:tcPr>
            <w:tcW w:w="866" w:type="pct"/>
            <w:tcBorders>
              <w:top w:val="nil"/>
              <w:left w:val="nil"/>
              <w:bottom w:val="single" w:sz="8" w:space="0" w:color="49938D"/>
              <w:right w:val="single" w:sz="8" w:space="0" w:color="49938D"/>
            </w:tcBorders>
            <w:noWrap/>
            <w:vAlign w:val="center"/>
            <w:hideMark/>
          </w:tcPr>
          <w:p w14:paraId="04C02E43" w14:textId="77777777" w:rsidR="004016F6" w:rsidRPr="00350368" w:rsidRDefault="004016F6" w:rsidP="004016F6">
            <w:pPr>
              <w:spacing w:after="0" w:line="240" w:lineRule="auto"/>
              <w:rPr>
                <w:rFonts w:ascii="Aptos" w:eastAsia="Times New Roman" w:hAnsi="Aptos" w:cs="Times New Roman"/>
                <w:color w:val="000000"/>
                <w:lang w:val="en-GB" w:eastAsia="en-GB"/>
              </w:rPr>
            </w:pPr>
            <w:r w:rsidRPr="00350368">
              <w:rPr>
                <w:rFonts w:ascii="Aptos" w:eastAsia="Times New Roman" w:hAnsi="Aptos" w:cs="Times New Roman"/>
                <w:color w:val="000000"/>
                <w:lang w:val="en-GB" w:eastAsia="en-GB"/>
              </w:rPr>
              <w:t>Significant</w:t>
            </w:r>
          </w:p>
        </w:tc>
        <w:tc>
          <w:tcPr>
            <w:tcW w:w="2365" w:type="pct"/>
            <w:tcBorders>
              <w:top w:val="nil"/>
              <w:left w:val="nil"/>
              <w:bottom w:val="single" w:sz="8" w:space="0" w:color="49938D"/>
              <w:right w:val="single" w:sz="8" w:space="0" w:color="49938D"/>
            </w:tcBorders>
            <w:noWrap/>
            <w:vAlign w:val="center"/>
            <w:hideMark/>
          </w:tcPr>
          <w:p w14:paraId="5BBB7C82" w14:textId="77777777" w:rsidR="004016F6" w:rsidRPr="00350368" w:rsidRDefault="004016F6" w:rsidP="004016F6">
            <w:pPr>
              <w:spacing w:after="0" w:line="240" w:lineRule="auto"/>
              <w:rPr>
                <w:rFonts w:ascii="Aptos" w:eastAsia="Times New Roman" w:hAnsi="Aptos" w:cs="Times New Roman"/>
                <w:color w:val="000000"/>
                <w:lang w:val="en-GB" w:eastAsia="en-GB"/>
              </w:rPr>
            </w:pPr>
            <w:r w:rsidRPr="00350368">
              <w:rPr>
                <w:rFonts w:ascii="Aptos" w:eastAsia="Times New Roman" w:hAnsi="Aptos" w:cs="Times New Roman"/>
                <w:color w:val="000000"/>
                <w:lang w:val="en-GB" w:eastAsia="en-GB"/>
              </w:rPr>
              <w:t>25-50% of affected area/system expose to climate hazards</w:t>
            </w:r>
          </w:p>
        </w:tc>
        <w:tc>
          <w:tcPr>
            <w:tcW w:w="1224" w:type="pct"/>
            <w:tcBorders>
              <w:top w:val="nil"/>
              <w:left w:val="nil"/>
              <w:bottom w:val="single" w:sz="8" w:space="0" w:color="49938D"/>
              <w:right w:val="single" w:sz="8" w:space="0" w:color="49938D"/>
            </w:tcBorders>
            <w:noWrap/>
            <w:vAlign w:val="center"/>
            <w:hideMark/>
          </w:tcPr>
          <w:p w14:paraId="42A45B99" w14:textId="77777777" w:rsidR="004016F6" w:rsidRPr="00350368" w:rsidRDefault="004016F6" w:rsidP="004016F6">
            <w:pPr>
              <w:spacing w:after="0" w:line="240" w:lineRule="auto"/>
              <w:rPr>
                <w:rFonts w:ascii="Aptos" w:eastAsia="Times New Roman" w:hAnsi="Aptos" w:cs="Times New Roman"/>
                <w:color w:val="000000"/>
                <w:lang w:val="en-GB" w:eastAsia="en-GB"/>
              </w:rPr>
            </w:pPr>
            <w:r w:rsidRPr="00350368">
              <w:rPr>
                <w:rFonts w:ascii="Aptos" w:eastAsia="Times New Roman" w:hAnsi="Aptos" w:cs="Times New Roman"/>
                <w:color w:val="000000"/>
                <w:lang w:val="en-GB" w:eastAsia="en-GB"/>
              </w:rPr>
              <w:t>25-50%</w:t>
            </w:r>
          </w:p>
        </w:tc>
      </w:tr>
      <w:tr w:rsidR="004016F6" w:rsidRPr="00350368" w14:paraId="1DAE4760" w14:textId="77777777" w:rsidTr="00904F74">
        <w:trPr>
          <w:trHeight w:val="300"/>
        </w:trPr>
        <w:tc>
          <w:tcPr>
            <w:tcW w:w="546" w:type="pct"/>
            <w:tcBorders>
              <w:top w:val="nil"/>
              <w:left w:val="single" w:sz="8" w:space="0" w:color="49938D"/>
              <w:bottom w:val="single" w:sz="8" w:space="0" w:color="49938D"/>
              <w:right w:val="single" w:sz="8" w:space="0" w:color="49938D"/>
            </w:tcBorders>
            <w:shd w:val="clear" w:color="000000" w:fill="FFCC66"/>
            <w:noWrap/>
            <w:vAlign w:val="center"/>
            <w:hideMark/>
          </w:tcPr>
          <w:p w14:paraId="53291E34" w14:textId="77777777" w:rsidR="004016F6" w:rsidRPr="00350368" w:rsidRDefault="004016F6" w:rsidP="004016F6">
            <w:pPr>
              <w:spacing w:after="0" w:line="240" w:lineRule="auto"/>
              <w:jc w:val="center"/>
              <w:rPr>
                <w:rFonts w:ascii="Aptos" w:eastAsia="Times New Roman" w:hAnsi="Aptos" w:cs="Times New Roman"/>
                <w:b/>
                <w:bCs/>
                <w:color w:val="000000"/>
                <w:lang w:val="en-GB" w:eastAsia="en-GB"/>
              </w:rPr>
            </w:pPr>
            <w:r w:rsidRPr="00350368">
              <w:rPr>
                <w:rFonts w:ascii="Aptos" w:eastAsia="Times New Roman" w:hAnsi="Aptos" w:cs="Times New Roman"/>
                <w:b/>
                <w:bCs/>
                <w:color w:val="000000"/>
                <w:lang w:val="en-GB" w:eastAsia="en-GB"/>
              </w:rPr>
              <w:t>1</w:t>
            </w:r>
          </w:p>
        </w:tc>
        <w:tc>
          <w:tcPr>
            <w:tcW w:w="866" w:type="pct"/>
            <w:tcBorders>
              <w:top w:val="nil"/>
              <w:left w:val="nil"/>
              <w:bottom w:val="single" w:sz="8" w:space="0" w:color="49938D"/>
              <w:right w:val="single" w:sz="8" w:space="0" w:color="49938D"/>
            </w:tcBorders>
            <w:noWrap/>
            <w:vAlign w:val="center"/>
            <w:hideMark/>
          </w:tcPr>
          <w:p w14:paraId="6B788A21" w14:textId="77777777" w:rsidR="004016F6" w:rsidRPr="00350368" w:rsidRDefault="004016F6" w:rsidP="004016F6">
            <w:pPr>
              <w:spacing w:after="0" w:line="240" w:lineRule="auto"/>
              <w:rPr>
                <w:rFonts w:ascii="Aptos" w:eastAsia="Times New Roman" w:hAnsi="Aptos" w:cs="Times New Roman"/>
                <w:color w:val="000000"/>
                <w:lang w:val="en-GB" w:eastAsia="en-GB"/>
              </w:rPr>
            </w:pPr>
            <w:r w:rsidRPr="00350368">
              <w:rPr>
                <w:rFonts w:ascii="Aptos" w:eastAsia="Times New Roman" w:hAnsi="Aptos" w:cs="Times New Roman"/>
                <w:color w:val="000000"/>
                <w:lang w:val="en-GB" w:eastAsia="en-GB"/>
              </w:rPr>
              <w:t>Moderate</w:t>
            </w:r>
          </w:p>
        </w:tc>
        <w:tc>
          <w:tcPr>
            <w:tcW w:w="2365" w:type="pct"/>
            <w:tcBorders>
              <w:top w:val="nil"/>
              <w:left w:val="nil"/>
              <w:bottom w:val="single" w:sz="8" w:space="0" w:color="49938D"/>
              <w:right w:val="single" w:sz="8" w:space="0" w:color="49938D"/>
            </w:tcBorders>
            <w:noWrap/>
            <w:vAlign w:val="center"/>
            <w:hideMark/>
          </w:tcPr>
          <w:p w14:paraId="0A57FAA5" w14:textId="77777777" w:rsidR="004016F6" w:rsidRPr="00350368" w:rsidRDefault="004016F6" w:rsidP="004016F6">
            <w:pPr>
              <w:spacing w:after="0" w:line="240" w:lineRule="auto"/>
              <w:rPr>
                <w:rFonts w:ascii="Aptos" w:eastAsia="Times New Roman" w:hAnsi="Aptos" w:cs="Times New Roman"/>
                <w:color w:val="000000"/>
                <w:lang w:val="en-GB" w:eastAsia="en-GB"/>
              </w:rPr>
            </w:pPr>
            <w:r w:rsidRPr="00350368">
              <w:rPr>
                <w:rFonts w:ascii="Aptos" w:eastAsia="Times New Roman" w:hAnsi="Aptos" w:cs="Times New Roman"/>
                <w:color w:val="000000"/>
                <w:lang w:val="en-GB" w:eastAsia="en-GB"/>
              </w:rPr>
              <w:t>10-25% of affected area/system expose to climate hazards</w:t>
            </w:r>
          </w:p>
        </w:tc>
        <w:tc>
          <w:tcPr>
            <w:tcW w:w="1224" w:type="pct"/>
            <w:tcBorders>
              <w:top w:val="nil"/>
              <w:left w:val="nil"/>
              <w:bottom w:val="single" w:sz="8" w:space="0" w:color="49938D"/>
              <w:right w:val="single" w:sz="8" w:space="0" w:color="49938D"/>
            </w:tcBorders>
            <w:noWrap/>
            <w:vAlign w:val="center"/>
            <w:hideMark/>
          </w:tcPr>
          <w:p w14:paraId="6C3739B8" w14:textId="77777777" w:rsidR="004016F6" w:rsidRPr="00350368" w:rsidRDefault="004016F6" w:rsidP="004016F6">
            <w:pPr>
              <w:spacing w:after="0" w:line="240" w:lineRule="auto"/>
              <w:rPr>
                <w:rFonts w:ascii="Aptos" w:eastAsia="Times New Roman" w:hAnsi="Aptos" w:cs="Times New Roman"/>
                <w:color w:val="000000"/>
                <w:lang w:val="en-GB" w:eastAsia="en-GB"/>
              </w:rPr>
            </w:pPr>
            <w:r w:rsidRPr="00350368">
              <w:rPr>
                <w:rFonts w:ascii="Aptos" w:eastAsia="Times New Roman" w:hAnsi="Aptos" w:cs="Times New Roman"/>
                <w:color w:val="000000"/>
                <w:lang w:val="en-GB" w:eastAsia="en-GB"/>
              </w:rPr>
              <w:t>10-25%</w:t>
            </w:r>
          </w:p>
        </w:tc>
      </w:tr>
      <w:tr w:rsidR="004016F6" w:rsidRPr="00350368" w14:paraId="5A71AC90" w14:textId="77777777" w:rsidTr="00904F74">
        <w:trPr>
          <w:trHeight w:val="300"/>
        </w:trPr>
        <w:tc>
          <w:tcPr>
            <w:tcW w:w="546" w:type="pct"/>
            <w:tcBorders>
              <w:top w:val="nil"/>
              <w:left w:val="single" w:sz="8" w:space="0" w:color="49938D"/>
              <w:bottom w:val="single" w:sz="8" w:space="0" w:color="49938D"/>
              <w:right w:val="single" w:sz="8" w:space="0" w:color="49938D"/>
            </w:tcBorders>
            <w:shd w:val="clear" w:color="000000" w:fill="92D050"/>
            <w:noWrap/>
            <w:vAlign w:val="center"/>
            <w:hideMark/>
          </w:tcPr>
          <w:p w14:paraId="41F4E758" w14:textId="77777777" w:rsidR="004016F6" w:rsidRPr="00350368" w:rsidRDefault="004016F6" w:rsidP="004016F6">
            <w:pPr>
              <w:spacing w:after="0" w:line="240" w:lineRule="auto"/>
              <w:jc w:val="center"/>
              <w:rPr>
                <w:rFonts w:ascii="Aptos" w:eastAsia="Times New Roman" w:hAnsi="Aptos" w:cs="Times New Roman"/>
                <w:b/>
                <w:bCs/>
                <w:color w:val="000000"/>
                <w:lang w:val="en-GB" w:eastAsia="en-GB"/>
              </w:rPr>
            </w:pPr>
            <w:r w:rsidRPr="00350368">
              <w:rPr>
                <w:rFonts w:ascii="Aptos" w:eastAsia="Times New Roman" w:hAnsi="Aptos" w:cs="Times New Roman"/>
                <w:b/>
                <w:bCs/>
                <w:color w:val="000000"/>
                <w:lang w:val="en-GB" w:eastAsia="en-GB"/>
              </w:rPr>
              <w:t>0</w:t>
            </w:r>
          </w:p>
        </w:tc>
        <w:tc>
          <w:tcPr>
            <w:tcW w:w="866" w:type="pct"/>
            <w:tcBorders>
              <w:top w:val="nil"/>
              <w:left w:val="nil"/>
              <w:bottom w:val="single" w:sz="8" w:space="0" w:color="49938D"/>
              <w:right w:val="single" w:sz="8" w:space="0" w:color="49938D"/>
            </w:tcBorders>
            <w:noWrap/>
            <w:vAlign w:val="center"/>
            <w:hideMark/>
          </w:tcPr>
          <w:p w14:paraId="6B5C0105" w14:textId="77777777" w:rsidR="004016F6" w:rsidRPr="00350368" w:rsidRDefault="004016F6" w:rsidP="004016F6">
            <w:pPr>
              <w:spacing w:after="0" w:line="240" w:lineRule="auto"/>
              <w:rPr>
                <w:rFonts w:ascii="Aptos" w:eastAsia="Times New Roman" w:hAnsi="Aptos" w:cs="Times New Roman"/>
                <w:color w:val="000000"/>
                <w:lang w:val="en-GB" w:eastAsia="en-GB"/>
              </w:rPr>
            </w:pPr>
            <w:r w:rsidRPr="00350368">
              <w:rPr>
                <w:rFonts w:ascii="Aptos" w:eastAsia="Times New Roman" w:hAnsi="Aptos" w:cs="Times New Roman"/>
                <w:color w:val="000000"/>
                <w:lang w:val="en-GB" w:eastAsia="en-GB"/>
              </w:rPr>
              <w:t>Low or None</w:t>
            </w:r>
          </w:p>
        </w:tc>
        <w:tc>
          <w:tcPr>
            <w:tcW w:w="2365" w:type="pct"/>
            <w:tcBorders>
              <w:top w:val="nil"/>
              <w:left w:val="nil"/>
              <w:bottom w:val="single" w:sz="8" w:space="0" w:color="49938D"/>
              <w:right w:val="single" w:sz="8" w:space="0" w:color="49938D"/>
            </w:tcBorders>
            <w:noWrap/>
            <w:vAlign w:val="center"/>
            <w:hideMark/>
          </w:tcPr>
          <w:p w14:paraId="43A005CB" w14:textId="77777777" w:rsidR="004016F6" w:rsidRPr="00350368" w:rsidRDefault="004016F6" w:rsidP="004016F6">
            <w:pPr>
              <w:spacing w:after="0" w:line="240" w:lineRule="auto"/>
              <w:rPr>
                <w:rFonts w:ascii="Aptos" w:eastAsia="Times New Roman" w:hAnsi="Aptos" w:cs="Times New Roman"/>
                <w:color w:val="000000"/>
                <w:lang w:val="en-GB" w:eastAsia="en-GB"/>
              </w:rPr>
            </w:pPr>
            <w:r w:rsidRPr="00350368">
              <w:rPr>
                <w:rFonts w:ascii="Aptos" w:eastAsia="Times New Roman" w:hAnsi="Aptos" w:cs="Times New Roman"/>
                <w:color w:val="000000"/>
                <w:lang w:val="en-GB" w:eastAsia="en-GB"/>
              </w:rPr>
              <w:t>0-10% of affected area/system expose to climate hazards</w:t>
            </w:r>
          </w:p>
        </w:tc>
        <w:tc>
          <w:tcPr>
            <w:tcW w:w="1224" w:type="pct"/>
            <w:tcBorders>
              <w:top w:val="nil"/>
              <w:left w:val="nil"/>
              <w:bottom w:val="single" w:sz="8" w:space="0" w:color="49938D"/>
              <w:right w:val="single" w:sz="8" w:space="0" w:color="49938D"/>
            </w:tcBorders>
            <w:noWrap/>
            <w:vAlign w:val="center"/>
            <w:hideMark/>
          </w:tcPr>
          <w:p w14:paraId="6D0B02A7" w14:textId="77777777" w:rsidR="004016F6" w:rsidRPr="00350368" w:rsidRDefault="004016F6" w:rsidP="004016F6">
            <w:pPr>
              <w:spacing w:after="0" w:line="240" w:lineRule="auto"/>
              <w:rPr>
                <w:rFonts w:ascii="Aptos" w:eastAsia="Times New Roman" w:hAnsi="Aptos" w:cs="Times New Roman"/>
                <w:color w:val="000000"/>
                <w:lang w:val="en-GB" w:eastAsia="en-GB"/>
              </w:rPr>
            </w:pPr>
            <w:r w:rsidRPr="00350368">
              <w:rPr>
                <w:rFonts w:ascii="Aptos" w:eastAsia="Times New Roman" w:hAnsi="Aptos" w:cs="Times New Roman"/>
                <w:color w:val="000000"/>
                <w:lang w:val="en-GB" w:eastAsia="en-GB"/>
              </w:rPr>
              <w:t>0-10%</w:t>
            </w:r>
          </w:p>
        </w:tc>
      </w:tr>
    </w:tbl>
    <w:p w14:paraId="76D3EC22" w14:textId="77777777" w:rsidR="004016F6" w:rsidRPr="00350368" w:rsidRDefault="004016F6" w:rsidP="00544ADD">
      <w:pPr>
        <w:rPr>
          <w:lang w:val="en-GB"/>
        </w:rPr>
      </w:pPr>
    </w:p>
    <w:p w14:paraId="1018644A" w14:textId="77777777" w:rsidR="004016F6" w:rsidRPr="00350368" w:rsidRDefault="004016F6" w:rsidP="00904F74">
      <w:pPr>
        <w:pStyle w:val="Heading2"/>
      </w:pPr>
      <w:r w:rsidRPr="00350368">
        <w:t>Sensitivity</w:t>
      </w:r>
    </w:p>
    <w:p w14:paraId="2F41E66D" w14:textId="77777777" w:rsidR="005304E5" w:rsidRPr="00350368" w:rsidRDefault="005304E5" w:rsidP="00904F74">
      <w:pPr>
        <w:rPr>
          <w:lang w:val="en-GB"/>
        </w:rPr>
      </w:pPr>
      <w:r w:rsidRPr="00350368">
        <w:rPr>
          <w:lang w:val="en-GB"/>
        </w:rPr>
        <w:t>The degree to which a system or species is adversely or beneficially affected by climate variability or climate change.</w:t>
      </w:r>
    </w:p>
    <w:p w14:paraId="7323FD03" w14:textId="77777777" w:rsidR="005304E5" w:rsidRPr="00350368" w:rsidRDefault="005304E5" w:rsidP="005304E5">
      <w:pPr>
        <w:spacing w:after="0" w:line="240" w:lineRule="auto"/>
        <w:rPr>
          <w:rFonts w:ascii="Aptos Narrow" w:eastAsia="Times New Roman" w:hAnsi="Aptos Narrow" w:cs="Times New Roman"/>
          <w:color w:val="000000"/>
          <w:sz w:val="22"/>
          <w:szCs w:val="22"/>
          <w:lang w:val="en-GB" w:eastAsia="en-GB"/>
        </w:rPr>
      </w:pPr>
    </w:p>
    <w:tbl>
      <w:tblPr>
        <w:tblW w:w="5000" w:type="pct"/>
        <w:tblLayout w:type="fixed"/>
        <w:tblLook w:val="04A0" w:firstRow="1" w:lastRow="0" w:firstColumn="1" w:lastColumn="0" w:noHBand="0" w:noVBand="1"/>
      </w:tblPr>
      <w:tblGrid>
        <w:gridCol w:w="1124"/>
        <w:gridCol w:w="1599"/>
        <w:gridCol w:w="6283"/>
      </w:tblGrid>
      <w:tr w:rsidR="005304E5" w:rsidRPr="00350368" w14:paraId="324F7804" w14:textId="77777777" w:rsidTr="00904F74">
        <w:trPr>
          <w:trHeight w:val="300"/>
          <w:tblHeader/>
        </w:trPr>
        <w:tc>
          <w:tcPr>
            <w:tcW w:w="624" w:type="pct"/>
            <w:tcBorders>
              <w:top w:val="single" w:sz="8" w:space="0" w:color="47928D"/>
              <w:left w:val="single" w:sz="8" w:space="0" w:color="47928D"/>
              <w:bottom w:val="single" w:sz="8" w:space="0" w:color="47928D"/>
              <w:right w:val="nil"/>
            </w:tcBorders>
            <w:shd w:val="clear" w:color="000000" w:fill="47928D"/>
            <w:noWrap/>
            <w:vAlign w:val="center"/>
            <w:hideMark/>
          </w:tcPr>
          <w:p w14:paraId="7A707062" w14:textId="77777777" w:rsidR="005304E5" w:rsidRPr="00350368" w:rsidRDefault="005304E5" w:rsidP="005304E5">
            <w:pPr>
              <w:spacing w:after="0" w:line="240" w:lineRule="auto"/>
              <w:rPr>
                <w:rFonts w:ascii="Aptos" w:eastAsia="Times New Roman" w:hAnsi="Aptos" w:cs="Times New Roman"/>
                <w:b/>
                <w:bCs/>
                <w:color w:val="FFFFFF"/>
                <w:lang w:val="en-GB" w:eastAsia="en-GB"/>
              </w:rPr>
            </w:pPr>
            <w:r w:rsidRPr="00350368">
              <w:rPr>
                <w:rFonts w:ascii="Aptos" w:eastAsia="Times New Roman" w:hAnsi="Aptos" w:cs="Times New Roman"/>
                <w:b/>
                <w:bCs/>
                <w:color w:val="FFFFFF"/>
                <w:lang w:val="en-GB" w:eastAsia="en-GB"/>
              </w:rPr>
              <w:t>Score</w:t>
            </w:r>
          </w:p>
        </w:tc>
        <w:tc>
          <w:tcPr>
            <w:tcW w:w="888" w:type="pct"/>
            <w:tcBorders>
              <w:top w:val="single" w:sz="8" w:space="0" w:color="47928D"/>
              <w:left w:val="nil"/>
              <w:bottom w:val="single" w:sz="8" w:space="0" w:color="47928D"/>
              <w:right w:val="single" w:sz="8" w:space="0" w:color="47928D"/>
            </w:tcBorders>
            <w:shd w:val="clear" w:color="000000" w:fill="47928D"/>
            <w:noWrap/>
            <w:vAlign w:val="center"/>
            <w:hideMark/>
          </w:tcPr>
          <w:p w14:paraId="469459F6" w14:textId="77777777" w:rsidR="005304E5" w:rsidRPr="00350368" w:rsidRDefault="005304E5" w:rsidP="005304E5">
            <w:pPr>
              <w:spacing w:after="0" w:line="240" w:lineRule="auto"/>
              <w:rPr>
                <w:rFonts w:ascii="Aptos" w:eastAsia="Times New Roman" w:hAnsi="Aptos" w:cs="Times New Roman"/>
                <w:b/>
                <w:bCs/>
                <w:color w:val="FFFFFF"/>
                <w:lang w:val="en-GB" w:eastAsia="en-GB"/>
              </w:rPr>
            </w:pPr>
            <w:r w:rsidRPr="00350368">
              <w:rPr>
                <w:rFonts w:ascii="Aptos" w:eastAsia="Times New Roman" w:hAnsi="Aptos" w:cs="Times New Roman"/>
                <w:b/>
                <w:bCs/>
                <w:color w:val="FFFFFF"/>
                <w:lang w:val="en-GB" w:eastAsia="en-GB"/>
              </w:rPr>
              <w:t>Rating</w:t>
            </w:r>
          </w:p>
        </w:tc>
        <w:tc>
          <w:tcPr>
            <w:tcW w:w="3488" w:type="pct"/>
            <w:tcBorders>
              <w:top w:val="single" w:sz="8" w:space="0" w:color="47928D"/>
              <w:left w:val="nil"/>
              <w:bottom w:val="single" w:sz="8" w:space="0" w:color="47928D"/>
              <w:right w:val="single" w:sz="8" w:space="0" w:color="47928D"/>
            </w:tcBorders>
            <w:shd w:val="clear" w:color="000000" w:fill="47928D"/>
            <w:noWrap/>
            <w:vAlign w:val="center"/>
            <w:hideMark/>
          </w:tcPr>
          <w:p w14:paraId="444BFDAC" w14:textId="77777777" w:rsidR="005304E5" w:rsidRPr="00350368" w:rsidRDefault="005304E5" w:rsidP="005304E5">
            <w:pPr>
              <w:spacing w:after="0" w:line="240" w:lineRule="auto"/>
              <w:rPr>
                <w:rFonts w:ascii="Aptos" w:eastAsia="Times New Roman" w:hAnsi="Aptos" w:cs="Times New Roman"/>
                <w:b/>
                <w:bCs/>
                <w:color w:val="FFFFFF"/>
                <w:lang w:val="en-GB" w:eastAsia="en-GB"/>
              </w:rPr>
            </w:pPr>
            <w:r w:rsidRPr="00350368">
              <w:rPr>
                <w:rFonts w:ascii="Aptos" w:eastAsia="Times New Roman" w:hAnsi="Aptos" w:cs="Times New Roman"/>
                <w:b/>
                <w:bCs/>
                <w:color w:val="FFFFFF"/>
                <w:lang w:val="en-GB" w:eastAsia="en-GB"/>
              </w:rPr>
              <w:t>Description</w:t>
            </w:r>
          </w:p>
        </w:tc>
      </w:tr>
      <w:tr w:rsidR="005304E5" w:rsidRPr="00350368" w14:paraId="54417A38" w14:textId="77777777" w:rsidTr="00904F74">
        <w:trPr>
          <w:trHeight w:val="564"/>
        </w:trPr>
        <w:tc>
          <w:tcPr>
            <w:tcW w:w="624" w:type="pct"/>
            <w:tcBorders>
              <w:top w:val="nil"/>
              <w:left w:val="single" w:sz="8" w:space="0" w:color="49938D"/>
              <w:bottom w:val="single" w:sz="8" w:space="0" w:color="49938D"/>
              <w:right w:val="single" w:sz="8" w:space="0" w:color="49938D"/>
            </w:tcBorders>
            <w:shd w:val="clear" w:color="000000" w:fill="FF0000"/>
            <w:noWrap/>
            <w:vAlign w:val="center"/>
            <w:hideMark/>
          </w:tcPr>
          <w:p w14:paraId="2DBC04B3" w14:textId="77777777" w:rsidR="005304E5" w:rsidRPr="00350368" w:rsidRDefault="005304E5" w:rsidP="005304E5">
            <w:pPr>
              <w:spacing w:after="0" w:line="240" w:lineRule="auto"/>
              <w:jc w:val="center"/>
              <w:rPr>
                <w:rFonts w:ascii="Aptos" w:eastAsia="Times New Roman" w:hAnsi="Aptos" w:cs="Times New Roman"/>
                <w:b/>
                <w:bCs/>
                <w:color w:val="000000"/>
                <w:lang w:val="en-GB" w:eastAsia="en-GB"/>
              </w:rPr>
            </w:pPr>
            <w:r w:rsidRPr="00350368">
              <w:rPr>
                <w:rFonts w:ascii="Aptos" w:eastAsia="Times New Roman" w:hAnsi="Aptos" w:cs="Times New Roman"/>
                <w:b/>
                <w:bCs/>
                <w:color w:val="000000"/>
                <w:lang w:val="en-GB" w:eastAsia="en-GB"/>
              </w:rPr>
              <w:t>3</w:t>
            </w:r>
          </w:p>
        </w:tc>
        <w:tc>
          <w:tcPr>
            <w:tcW w:w="888" w:type="pct"/>
            <w:tcBorders>
              <w:top w:val="nil"/>
              <w:left w:val="nil"/>
              <w:bottom w:val="single" w:sz="8" w:space="0" w:color="49938D"/>
              <w:right w:val="single" w:sz="8" w:space="0" w:color="49938D"/>
            </w:tcBorders>
            <w:noWrap/>
            <w:vAlign w:val="center"/>
            <w:hideMark/>
          </w:tcPr>
          <w:p w14:paraId="210D194D" w14:textId="77777777" w:rsidR="005304E5" w:rsidRPr="00350368" w:rsidRDefault="005304E5" w:rsidP="005304E5">
            <w:pPr>
              <w:spacing w:after="0" w:line="240" w:lineRule="auto"/>
              <w:rPr>
                <w:rFonts w:ascii="Aptos" w:eastAsia="Times New Roman" w:hAnsi="Aptos" w:cs="Times New Roman"/>
                <w:color w:val="000000"/>
                <w:lang w:val="en-GB" w:eastAsia="en-GB"/>
              </w:rPr>
            </w:pPr>
            <w:r w:rsidRPr="00350368">
              <w:rPr>
                <w:rFonts w:ascii="Aptos" w:eastAsia="Times New Roman" w:hAnsi="Aptos" w:cs="Times New Roman"/>
                <w:color w:val="000000"/>
                <w:lang w:val="en-GB" w:eastAsia="en-GB"/>
              </w:rPr>
              <w:t>High sensitivity</w:t>
            </w:r>
          </w:p>
        </w:tc>
        <w:tc>
          <w:tcPr>
            <w:tcW w:w="3488" w:type="pct"/>
            <w:tcBorders>
              <w:top w:val="nil"/>
              <w:left w:val="nil"/>
              <w:bottom w:val="single" w:sz="8" w:space="0" w:color="49938D"/>
              <w:right w:val="single" w:sz="8" w:space="0" w:color="49938D"/>
            </w:tcBorders>
            <w:vAlign w:val="center"/>
            <w:hideMark/>
          </w:tcPr>
          <w:p w14:paraId="0E906363" w14:textId="77777777" w:rsidR="005304E5" w:rsidRPr="00350368" w:rsidRDefault="005304E5" w:rsidP="005304E5">
            <w:pPr>
              <w:spacing w:after="0" w:line="240" w:lineRule="auto"/>
              <w:rPr>
                <w:rFonts w:ascii="Aptos" w:eastAsia="Times New Roman" w:hAnsi="Aptos" w:cs="Times New Roman"/>
                <w:color w:val="000000"/>
                <w:lang w:val="en-GB" w:eastAsia="en-GB"/>
              </w:rPr>
            </w:pPr>
            <w:r w:rsidRPr="00350368">
              <w:rPr>
                <w:rFonts w:ascii="Aptos" w:eastAsia="Times New Roman" w:hAnsi="Aptos" w:cs="Times New Roman"/>
                <w:color w:val="000000"/>
                <w:lang w:val="en-GB" w:eastAsia="en-GB"/>
              </w:rPr>
              <w:t>Potential loss of life or high impact caused by climate change. Difficult or impossible for systems to recover</w:t>
            </w:r>
          </w:p>
        </w:tc>
      </w:tr>
      <w:tr w:rsidR="005304E5" w:rsidRPr="00350368" w14:paraId="7CFB8E10" w14:textId="77777777" w:rsidTr="00904F74">
        <w:trPr>
          <w:trHeight w:val="300"/>
        </w:trPr>
        <w:tc>
          <w:tcPr>
            <w:tcW w:w="624" w:type="pct"/>
            <w:tcBorders>
              <w:top w:val="nil"/>
              <w:left w:val="single" w:sz="8" w:space="0" w:color="49938D"/>
              <w:bottom w:val="single" w:sz="8" w:space="0" w:color="49938D"/>
              <w:right w:val="single" w:sz="8" w:space="0" w:color="49938D"/>
            </w:tcBorders>
            <w:shd w:val="clear" w:color="000000" w:fill="FF6600"/>
            <w:noWrap/>
            <w:vAlign w:val="center"/>
            <w:hideMark/>
          </w:tcPr>
          <w:p w14:paraId="6EFAAB74" w14:textId="77777777" w:rsidR="005304E5" w:rsidRPr="00350368" w:rsidRDefault="005304E5" w:rsidP="005304E5">
            <w:pPr>
              <w:spacing w:after="0" w:line="240" w:lineRule="auto"/>
              <w:jc w:val="center"/>
              <w:rPr>
                <w:rFonts w:ascii="Aptos" w:eastAsia="Times New Roman" w:hAnsi="Aptos" w:cs="Times New Roman"/>
                <w:b/>
                <w:bCs/>
                <w:color w:val="000000"/>
                <w:lang w:val="en-GB" w:eastAsia="en-GB"/>
              </w:rPr>
            </w:pPr>
            <w:r w:rsidRPr="00350368">
              <w:rPr>
                <w:rFonts w:ascii="Aptos" w:eastAsia="Times New Roman" w:hAnsi="Aptos" w:cs="Times New Roman"/>
                <w:b/>
                <w:bCs/>
                <w:color w:val="000000"/>
                <w:lang w:val="en-GB" w:eastAsia="en-GB"/>
              </w:rPr>
              <w:t>2</w:t>
            </w:r>
          </w:p>
        </w:tc>
        <w:tc>
          <w:tcPr>
            <w:tcW w:w="888" w:type="pct"/>
            <w:tcBorders>
              <w:top w:val="nil"/>
              <w:left w:val="nil"/>
              <w:bottom w:val="single" w:sz="8" w:space="0" w:color="49938D"/>
              <w:right w:val="single" w:sz="8" w:space="0" w:color="49938D"/>
            </w:tcBorders>
            <w:noWrap/>
            <w:vAlign w:val="center"/>
            <w:hideMark/>
          </w:tcPr>
          <w:p w14:paraId="21907DAC" w14:textId="77777777" w:rsidR="005304E5" w:rsidRPr="00350368" w:rsidRDefault="005304E5" w:rsidP="005304E5">
            <w:pPr>
              <w:spacing w:after="0" w:line="240" w:lineRule="auto"/>
              <w:rPr>
                <w:rFonts w:ascii="Aptos" w:eastAsia="Times New Roman" w:hAnsi="Aptos" w:cs="Times New Roman"/>
                <w:color w:val="000000"/>
                <w:lang w:val="en-GB" w:eastAsia="en-GB"/>
              </w:rPr>
            </w:pPr>
            <w:r w:rsidRPr="00350368">
              <w:rPr>
                <w:rFonts w:ascii="Aptos" w:eastAsia="Times New Roman" w:hAnsi="Aptos" w:cs="Times New Roman"/>
                <w:color w:val="000000"/>
                <w:lang w:val="en-GB" w:eastAsia="en-GB"/>
              </w:rPr>
              <w:t>Significant sensitivity</w:t>
            </w:r>
          </w:p>
        </w:tc>
        <w:tc>
          <w:tcPr>
            <w:tcW w:w="3488" w:type="pct"/>
            <w:tcBorders>
              <w:top w:val="nil"/>
              <w:left w:val="nil"/>
              <w:bottom w:val="single" w:sz="8" w:space="0" w:color="49938D"/>
              <w:right w:val="single" w:sz="8" w:space="0" w:color="49938D"/>
            </w:tcBorders>
            <w:noWrap/>
            <w:vAlign w:val="center"/>
            <w:hideMark/>
          </w:tcPr>
          <w:p w14:paraId="3F320521" w14:textId="77777777" w:rsidR="005304E5" w:rsidRPr="00350368" w:rsidRDefault="005304E5" w:rsidP="005304E5">
            <w:pPr>
              <w:spacing w:after="0" w:line="240" w:lineRule="auto"/>
              <w:rPr>
                <w:rFonts w:ascii="Aptos" w:eastAsia="Times New Roman" w:hAnsi="Aptos" w:cs="Times New Roman"/>
                <w:color w:val="000000"/>
                <w:lang w:val="en-GB" w:eastAsia="en-GB"/>
              </w:rPr>
            </w:pPr>
            <w:r w:rsidRPr="00350368">
              <w:rPr>
                <w:rFonts w:ascii="Aptos" w:eastAsia="Times New Roman" w:hAnsi="Aptos" w:cs="Times New Roman"/>
                <w:color w:val="000000"/>
                <w:lang w:val="en-GB" w:eastAsia="en-GB"/>
              </w:rPr>
              <w:t>If climate changes event happens, high impact, but not catastrophic</w:t>
            </w:r>
          </w:p>
        </w:tc>
      </w:tr>
      <w:tr w:rsidR="005304E5" w:rsidRPr="00350368" w14:paraId="1ED951FA" w14:textId="77777777" w:rsidTr="00904F74">
        <w:trPr>
          <w:trHeight w:val="300"/>
        </w:trPr>
        <w:tc>
          <w:tcPr>
            <w:tcW w:w="624" w:type="pct"/>
            <w:tcBorders>
              <w:top w:val="nil"/>
              <w:left w:val="single" w:sz="8" w:space="0" w:color="49938D"/>
              <w:bottom w:val="single" w:sz="8" w:space="0" w:color="49938D"/>
              <w:right w:val="single" w:sz="8" w:space="0" w:color="49938D"/>
            </w:tcBorders>
            <w:shd w:val="clear" w:color="000000" w:fill="FFCC66"/>
            <w:noWrap/>
            <w:vAlign w:val="center"/>
            <w:hideMark/>
          </w:tcPr>
          <w:p w14:paraId="5985FC2A" w14:textId="77777777" w:rsidR="005304E5" w:rsidRPr="00350368" w:rsidRDefault="005304E5" w:rsidP="005304E5">
            <w:pPr>
              <w:spacing w:after="0" w:line="240" w:lineRule="auto"/>
              <w:jc w:val="center"/>
              <w:rPr>
                <w:rFonts w:ascii="Aptos" w:eastAsia="Times New Roman" w:hAnsi="Aptos" w:cs="Times New Roman"/>
                <w:b/>
                <w:bCs/>
                <w:color w:val="000000"/>
                <w:lang w:val="en-GB" w:eastAsia="en-GB"/>
              </w:rPr>
            </w:pPr>
            <w:r w:rsidRPr="00350368">
              <w:rPr>
                <w:rFonts w:ascii="Aptos" w:eastAsia="Times New Roman" w:hAnsi="Aptos" w:cs="Times New Roman"/>
                <w:b/>
                <w:bCs/>
                <w:color w:val="000000"/>
                <w:lang w:val="en-GB" w:eastAsia="en-GB"/>
              </w:rPr>
              <w:t>1</w:t>
            </w:r>
          </w:p>
        </w:tc>
        <w:tc>
          <w:tcPr>
            <w:tcW w:w="888" w:type="pct"/>
            <w:tcBorders>
              <w:top w:val="nil"/>
              <w:left w:val="nil"/>
              <w:bottom w:val="single" w:sz="8" w:space="0" w:color="49938D"/>
              <w:right w:val="single" w:sz="8" w:space="0" w:color="49938D"/>
            </w:tcBorders>
            <w:noWrap/>
            <w:vAlign w:val="center"/>
            <w:hideMark/>
          </w:tcPr>
          <w:p w14:paraId="0427B6F2" w14:textId="77777777" w:rsidR="005304E5" w:rsidRPr="00350368" w:rsidRDefault="005304E5" w:rsidP="005304E5">
            <w:pPr>
              <w:spacing w:after="0" w:line="240" w:lineRule="auto"/>
              <w:rPr>
                <w:rFonts w:ascii="Aptos" w:eastAsia="Times New Roman" w:hAnsi="Aptos" w:cs="Times New Roman"/>
                <w:color w:val="000000"/>
                <w:lang w:val="en-GB" w:eastAsia="en-GB"/>
              </w:rPr>
            </w:pPr>
            <w:r w:rsidRPr="00350368">
              <w:rPr>
                <w:rFonts w:ascii="Aptos" w:eastAsia="Times New Roman" w:hAnsi="Aptos" w:cs="Times New Roman"/>
                <w:color w:val="000000"/>
                <w:lang w:val="en-GB" w:eastAsia="en-GB"/>
              </w:rPr>
              <w:t>Moderate sensitivity</w:t>
            </w:r>
          </w:p>
        </w:tc>
        <w:tc>
          <w:tcPr>
            <w:tcW w:w="3488" w:type="pct"/>
            <w:tcBorders>
              <w:top w:val="nil"/>
              <w:left w:val="nil"/>
              <w:bottom w:val="single" w:sz="8" w:space="0" w:color="49938D"/>
              <w:right w:val="single" w:sz="8" w:space="0" w:color="49938D"/>
            </w:tcBorders>
            <w:noWrap/>
            <w:vAlign w:val="center"/>
            <w:hideMark/>
          </w:tcPr>
          <w:p w14:paraId="02A213AC" w14:textId="77777777" w:rsidR="005304E5" w:rsidRPr="00350368" w:rsidRDefault="005304E5" w:rsidP="005304E5">
            <w:pPr>
              <w:spacing w:after="0" w:line="240" w:lineRule="auto"/>
              <w:rPr>
                <w:rFonts w:ascii="Aptos" w:eastAsia="Times New Roman" w:hAnsi="Aptos" w:cs="Times New Roman"/>
                <w:color w:val="000000"/>
                <w:lang w:val="en-GB" w:eastAsia="en-GB"/>
              </w:rPr>
            </w:pPr>
            <w:r w:rsidRPr="00350368">
              <w:rPr>
                <w:rFonts w:ascii="Aptos" w:eastAsia="Times New Roman" w:hAnsi="Aptos" w:cs="Times New Roman"/>
                <w:color w:val="000000"/>
                <w:lang w:val="en-GB" w:eastAsia="en-GB"/>
              </w:rPr>
              <w:t>If climate changes event happens, there is an impact, but not very disruptive</w:t>
            </w:r>
          </w:p>
        </w:tc>
      </w:tr>
      <w:tr w:rsidR="005304E5" w:rsidRPr="00350368" w14:paraId="00582C2C" w14:textId="77777777" w:rsidTr="00904F74">
        <w:trPr>
          <w:trHeight w:val="300"/>
        </w:trPr>
        <w:tc>
          <w:tcPr>
            <w:tcW w:w="624" w:type="pct"/>
            <w:tcBorders>
              <w:top w:val="nil"/>
              <w:left w:val="single" w:sz="8" w:space="0" w:color="49938D"/>
              <w:bottom w:val="single" w:sz="8" w:space="0" w:color="49938D"/>
              <w:right w:val="single" w:sz="8" w:space="0" w:color="49938D"/>
            </w:tcBorders>
            <w:shd w:val="clear" w:color="000000" w:fill="92D050"/>
            <w:noWrap/>
            <w:vAlign w:val="center"/>
            <w:hideMark/>
          </w:tcPr>
          <w:p w14:paraId="122AA8E9" w14:textId="77777777" w:rsidR="005304E5" w:rsidRPr="00350368" w:rsidRDefault="005304E5" w:rsidP="005304E5">
            <w:pPr>
              <w:spacing w:after="0" w:line="240" w:lineRule="auto"/>
              <w:jc w:val="center"/>
              <w:rPr>
                <w:rFonts w:ascii="Aptos" w:eastAsia="Times New Roman" w:hAnsi="Aptos" w:cs="Times New Roman"/>
                <w:b/>
                <w:bCs/>
                <w:color w:val="000000"/>
                <w:lang w:val="en-GB" w:eastAsia="en-GB"/>
              </w:rPr>
            </w:pPr>
            <w:r w:rsidRPr="00350368">
              <w:rPr>
                <w:rFonts w:ascii="Aptos" w:eastAsia="Times New Roman" w:hAnsi="Aptos" w:cs="Times New Roman"/>
                <w:b/>
                <w:bCs/>
                <w:color w:val="000000"/>
                <w:lang w:val="en-GB" w:eastAsia="en-GB"/>
              </w:rPr>
              <w:t>0</w:t>
            </w:r>
          </w:p>
        </w:tc>
        <w:tc>
          <w:tcPr>
            <w:tcW w:w="888" w:type="pct"/>
            <w:tcBorders>
              <w:top w:val="nil"/>
              <w:left w:val="nil"/>
              <w:bottom w:val="single" w:sz="8" w:space="0" w:color="49938D"/>
              <w:right w:val="single" w:sz="8" w:space="0" w:color="49938D"/>
            </w:tcBorders>
            <w:noWrap/>
            <w:vAlign w:val="center"/>
            <w:hideMark/>
          </w:tcPr>
          <w:p w14:paraId="099EA8E5" w14:textId="77777777" w:rsidR="005304E5" w:rsidRPr="00350368" w:rsidRDefault="005304E5" w:rsidP="005304E5">
            <w:pPr>
              <w:spacing w:after="0" w:line="240" w:lineRule="auto"/>
              <w:rPr>
                <w:rFonts w:ascii="Aptos" w:eastAsia="Times New Roman" w:hAnsi="Aptos" w:cs="Times New Roman"/>
                <w:color w:val="000000"/>
                <w:lang w:val="en-GB" w:eastAsia="en-GB"/>
              </w:rPr>
            </w:pPr>
            <w:r w:rsidRPr="00350368">
              <w:rPr>
                <w:rFonts w:ascii="Aptos" w:eastAsia="Times New Roman" w:hAnsi="Aptos" w:cs="Times New Roman"/>
                <w:color w:val="000000"/>
                <w:lang w:val="en-GB" w:eastAsia="en-GB"/>
              </w:rPr>
              <w:t>None or low sensitivity</w:t>
            </w:r>
          </w:p>
        </w:tc>
        <w:tc>
          <w:tcPr>
            <w:tcW w:w="3488" w:type="pct"/>
            <w:tcBorders>
              <w:top w:val="nil"/>
              <w:left w:val="nil"/>
              <w:bottom w:val="single" w:sz="8" w:space="0" w:color="49938D"/>
              <w:right w:val="single" w:sz="8" w:space="0" w:color="49938D"/>
            </w:tcBorders>
            <w:noWrap/>
            <w:vAlign w:val="center"/>
            <w:hideMark/>
          </w:tcPr>
          <w:p w14:paraId="26C22026" w14:textId="77777777" w:rsidR="005304E5" w:rsidRPr="00350368" w:rsidRDefault="005304E5" w:rsidP="005304E5">
            <w:pPr>
              <w:spacing w:after="0" w:line="240" w:lineRule="auto"/>
              <w:rPr>
                <w:rFonts w:ascii="Aptos" w:eastAsia="Times New Roman" w:hAnsi="Aptos" w:cs="Times New Roman"/>
                <w:color w:val="000000"/>
                <w:lang w:val="en-GB" w:eastAsia="en-GB"/>
              </w:rPr>
            </w:pPr>
            <w:r w:rsidRPr="00350368">
              <w:rPr>
                <w:rFonts w:ascii="Aptos" w:eastAsia="Times New Roman" w:hAnsi="Aptos" w:cs="Times New Roman"/>
                <w:color w:val="000000"/>
                <w:lang w:val="en-GB" w:eastAsia="en-GB"/>
              </w:rPr>
              <w:t>Limited or no consequence from climate event</w:t>
            </w:r>
          </w:p>
        </w:tc>
      </w:tr>
    </w:tbl>
    <w:p w14:paraId="27F39FF9" w14:textId="77777777" w:rsidR="005304E5" w:rsidRPr="00350368" w:rsidRDefault="005304E5" w:rsidP="00544ADD">
      <w:pPr>
        <w:rPr>
          <w:lang w:val="en-GB"/>
        </w:rPr>
      </w:pPr>
    </w:p>
    <w:p w14:paraId="41C7C5B0" w14:textId="77777777" w:rsidR="005304E5" w:rsidRPr="00350368" w:rsidRDefault="005304E5" w:rsidP="00904F74">
      <w:pPr>
        <w:pStyle w:val="Heading2"/>
      </w:pPr>
      <w:r w:rsidRPr="00350368">
        <w:lastRenderedPageBreak/>
        <w:t>Adaptive Capacity</w:t>
      </w:r>
    </w:p>
    <w:p w14:paraId="41993A00" w14:textId="16F16410" w:rsidR="005304E5" w:rsidRPr="00350368" w:rsidRDefault="005304E5" w:rsidP="005304E5">
      <w:pPr>
        <w:rPr>
          <w:lang w:val="en-GB"/>
        </w:rPr>
      </w:pPr>
      <w:r w:rsidRPr="00350368">
        <w:rPr>
          <w:lang w:val="en-GB"/>
        </w:rPr>
        <w:t>The ability of current systems, institutions, structural units, humans and other organisms to adjust to potential damage, to take advantage of opportunities, or to respond to consequences</w:t>
      </w:r>
    </w:p>
    <w:tbl>
      <w:tblPr>
        <w:tblW w:w="5000" w:type="pct"/>
        <w:tblLayout w:type="fixed"/>
        <w:tblLook w:val="04A0" w:firstRow="1" w:lastRow="0" w:firstColumn="1" w:lastColumn="0" w:noHBand="0" w:noVBand="1"/>
      </w:tblPr>
      <w:tblGrid>
        <w:gridCol w:w="984"/>
        <w:gridCol w:w="2125"/>
        <w:gridCol w:w="5897"/>
      </w:tblGrid>
      <w:tr w:rsidR="005304E5" w:rsidRPr="00350368" w14:paraId="588A4F8C" w14:textId="77777777" w:rsidTr="00904F74">
        <w:trPr>
          <w:trHeight w:val="300"/>
          <w:tblHeader/>
        </w:trPr>
        <w:tc>
          <w:tcPr>
            <w:tcW w:w="546" w:type="pct"/>
            <w:tcBorders>
              <w:top w:val="single" w:sz="8" w:space="0" w:color="47928D"/>
              <w:left w:val="single" w:sz="8" w:space="0" w:color="47928D"/>
              <w:bottom w:val="single" w:sz="8" w:space="0" w:color="47928D"/>
              <w:right w:val="nil"/>
            </w:tcBorders>
            <w:shd w:val="clear" w:color="000000" w:fill="47928D"/>
            <w:noWrap/>
            <w:vAlign w:val="center"/>
            <w:hideMark/>
          </w:tcPr>
          <w:p w14:paraId="39B728F7" w14:textId="77777777" w:rsidR="005304E5" w:rsidRPr="00350368" w:rsidRDefault="005304E5" w:rsidP="005304E5">
            <w:pPr>
              <w:spacing w:after="0" w:line="240" w:lineRule="auto"/>
              <w:rPr>
                <w:rFonts w:ascii="Aptos" w:eastAsia="Times New Roman" w:hAnsi="Aptos" w:cs="Times New Roman"/>
                <w:b/>
                <w:bCs/>
                <w:color w:val="FFFFFF"/>
                <w:lang w:val="en-GB" w:eastAsia="en-GB"/>
              </w:rPr>
            </w:pPr>
            <w:r w:rsidRPr="00350368">
              <w:rPr>
                <w:rFonts w:ascii="Aptos" w:eastAsia="Times New Roman" w:hAnsi="Aptos" w:cs="Times New Roman"/>
                <w:b/>
                <w:bCs/>
                <w:color w:val="FFFFFF"/>
                <w:lang w:val="en-GB" w:eastAsia="en-GB"/>
              </w:rPr>
              <w:t>Score</w:t>
            </w:r>
          </w:p>
        </w:tc>
        <w:tc>
          <w:tcPr>
            <w:tcW w:w="1180" w:type="pct"/>
            <w:tcBorders>
              <w:top w:val="single" w:sz="8" w:space="0" w:color="47928D"/>
              <w:left w:val="nil"/>
              <w:bottom w:val="single" w:sz="8" w:space="0" w:color="47928D"/>
              <w:right w:val="single" w:sz="8" w:space="0" w:color="47928D"/>
            </w:tcBorders>
            <w:shd w:val="clear" w:color="000000" w:fill="47928D"/>
            <w:noWrap/>
            <w:vAlign w:val="center"/>
            <w:hideMark/>
          </w:tcPr>
          <w:p w14:paraId="42AB5E00" w14:textId="77777777" w:rsidR="005304E5" w:rsidRPr="00350368" w:rsidRDefault="005304E5" w:rsidP="005304E5">
            <w:pPr>
              <w:spacing w:after="0" w:line="240" w:lineRule="auto"/>
              <w:rPr>
                <w:rFonts w:ascii="Aptos" w:eastAsia="Times New Roman" w:hAnsi="Aptos" w:cs="Times New Roman"/>
                <w:b/>
                <w:bCs/>
                <w:color w:val="FFFFFF"/>
                <w:lang w:val="en-GB" w:eastAsia="en-GB"/>
              </w:rPr>
            </w:pPr>
            <w:r w:rsidRPr="00350368">
              <w:rPr>
                <w:rFonts w:ascii="Aptos" w:eastAsia="Times New Roman" w:hAnsi="Aptos" w:cs="Times New Roman"/>
                <w:b/>
                <w:bCs/>
                <w:color w:val="FFFFFF"/>
                <w:lang w:val="en-GB" w:eastAsia="en-GB"/>
              </w:rPr>
              <w:t>Rating</w:t>
            </w:r>
          </w:p>
        </w:tc>
        <w:tc>
          <w:tcPr>
            <w:tcW w:w="3274" w:type="pct"/>
            <w:tcBorders>
              <w:top w:val="single" w:sz="8" w:space="0" w:color="47928D"/>
              <w:left w:val="nil"/>
              <w:bottom w:val="single" w:sz="8" w:space="0" w:color="47928D"/>
              <w:right w:val="single" w:sz="8" w:space="0" w:color="47928D"/>
            </w:tcBorders>
            <w:shd w:val="clear" w:color="000000" w:fill="47928D"/>
            <w:noWrap/>
            <w:vAlign w:val="center"/>
            <w:hideMark/>
          </w:tcPr>
          <w:p w14:paraId="434210C6" w14:textId="77777777" w:rsidR="005304E5" w:rsidRPr="00350368" w:rsidRDefault="005304E5" w:rsidP="005304E5">
            <w:pPr>
              <w:spacing w:after="0" w:line="240" w:lineRule="auto"/>
              <w:rPr>
                <w:rFonts w:ascii="Aptos" w:eastAsia="Times New Roman" w:hAnsi="Aptos" w:cs="Times New Roman"/>
                <w:b/>
                <w:bCs/>
                <w:color w:val="FFFFFF"/>
                <w:lang w:val="en-GB" w:eastAsia="en-GB"/>
              </w:rPr>
            </w:pPr>
            <w:r w:rsidRPr="00350368">
              <w:rPr>
                <w:rFonts w:ascii="Aptos" w:eastAsia="Times New Roman" w:hAnsi="Aptos" w:cs="Times New Roman"/>
                <w:b/>
                <w:bCs/>
                <w:color w:val="FFFFFF"/>
                <w:lang w:val="en-GB" w:eastAsia="en-GB"/>
              </w:rPr>
              <w:t>Description</w:t>
            </w:r>
          </w:p>
        </w:tc>
      </w:tr>
      <w:tr w:rsidR="005304E5" w:rsidRPr="00350368" w14:paraId="7EC0C3E6" w14:textId="77777777" w:rsidTr="00904F74">
        <w:trPr>
          <w:trHeight w:val="564"/>
        </w:trPr>
        <w:tc>
          <w:tcPr>
            <w:tcW w:w="546" w:type="pct"/>
            <w:tcBorders>
              <w:top w:val="nil"/>
              <w:left w:val="single" w:sz="8" w:space="0" w:color="49938D"/>
              <w:bottom w:val="single" w:sz="8" w:space="0" w:color="49938D"/>
              <w:right w:val="single" w:sz="8" w:space="0" w:color="49938D"/>
            </w:tcBorders>
            <w:shd w:val="clear" w:color="000000" w:fill="FF0000"/>
            <w:noWrap/>
            <w:vAlign w:val="center"/>
            <w:hideMark/>
          </w:tcPr>
          <w:p w14:paraId="4D1AA2F9" w14:textId="77777777" w:rsidR="005304E5" w:rsidRPr="00350368" w:rsidRDefault="005304E5" w:rsidP="005304E5">
            <w:pPr>
              <w:spacing w:after="0" w:line="240" w:lineRule="auto"/>
              <w:jc w:val="center"/>
              <w:rPr>
                <w:rFonts w:ascii="Aptos" w:eastAsia="Times New Roman" w:hAnsi="Aptos" w:cs="Times New Roman"/>
                <w:b/>
                <w:bCs/>
                <w:color w:val="000000"/>
                <w:lang w:val="en-GB" w:eastAsia="en-GB"/>
              </w:rPr>
            </w:pPr>
            <w:r w:rsidRPr="00350368">
              <w:rPr>
                <w:rFonts w:ascii="Aptos" w:eastAsia="Times New Roman" w:hAnsi="Aptos" w:cs="Times New Roman"/>
                <w:b/>
                <w:bCs/>
                <w:color w:val="000000"/>
                <w:lang w:val="en-GB" w:eastAsia="en-GB"/>
              </w:rPr>
              <w:t>0</w:t>
            </w:r>
          </w:p>
        </w:tc>
        <w:tc>
          <w:tcPr>
            <w:tcW w:w="1180" w:type="pct"/>
            <w:tcBorders>
              <w:top w:val="nil"/>
              <w:left w:val="nil"/>
              <w:bottom w:val="single" w:sz="8" w:space="0" w:color="49938D"/>
              <w:right w:val="single" w:sz="8" w:space="0" w:color="49938D"/>
            </w:tcBorders>
            <w:noWrap/>
            <w:vAlign w:val="center"/>
            <w:hideMark/>
          </w:tcPr>
          <w:p w14:paraId="11EB00A1" w14:textId="77777777" w:rsidR="005304E5" w:rsidRPr="00350368" w:rsidRDefault="005304E5" w:rsidP="005304E5">
            <w:pPr>
              <w:spacing w:after="0" w:line="240" w:lineRule="auto"/>
              <w:rPr>
                <w:rFonts w:ascii="Aptos" w:eastAsia="Times New Roman" w:hAnsi="Aptos" w:cs="Times New Roman"/>
                <w:color w:val="000000"/>
                <w:lang w:val="en-GB" w:eastAsia="en-GB"/>
              </w:rPr>
            </w:pPr>
            <w:r w:rsidRPr="00350368">
              <w:rPr>
                <w:rFonts w:ascii="Aptos" w:eastAsia="Times New Roman" w:hAnsi="Aptos" w:cs="Times New Roman"/>
                <w:color w:val="000000"/>
                <w:lang w:val="en-GB" w:eastAsia="en-GB"/>
              </w:rPr>
              <w:t>Low or No Adaptive Capacity</w:t>
            </w:r>
          </w:p>
        </w:tc>
        <w:tc>
          <w:tcPr>
            <w:tcW w:w="3274" w:type="pct"/>
            <w:tcBorders>
              <w:top w:val="nil"/>
              <w:left w:val="nil"/>
              <w:bottom w:val="single" w:sz="8" w:space="0" w:color="49938D"/>
              <w:right w:val="single" w:sz="8" w:space="0" w:color="49938D"/>
            </w:tcBorders>
            <w:vAlign w:val="center"/>
            <w:hideMark/>
          </w:tcPr>
          <w:p w14:paraId="7F83CF9D" w14:textId="77777777" w:rsidR="005304E5" w:rsidRPr="00350368" w:rsidRDefault="005304E5" w:rsidP="005304E5">
            <w:pPr>
              <w:spacing w:after="0" w:line="240" w:lineRule="auto"/>
              <w:rPr>
                <w:rFonts w:ascii="Aptos" w:eastAsia="Times New Roman" w:hAnsi="Aptos" w:cs="Times New Roman"/>
                <w:color w:val="000000"/>
                <w:lang w:val="en-GB" w:eastAsia="en-GB"/>
              </w:rPr>
            </w:pPr>
            <w:r w:rsidRPr="00350368">
              <w:rPr>
                <w:rFonts w:ascii="Aptos" w:eastAsia="Times New Roman" w:hAnsi="Aptos" w:cs="Times New Roman"/>
                <w:color w:val="000000"/>
                <w:lang w:val="en-GB" w:eastAsia="en-GB"/>
              </w:rPr>
              <w:t>Limited or no local or national policies or programmes in place to currently address specific risk/opportunity</w:t>
            </w:r>
          </w:p>
        </w:tc>
      </w:tr>
      <w:tr w:rsidR="005304E5" w:rsidRPr="00350368" w14:paraId="0A0DD5FE" w14:textId="77777777" w:rsidTr="00904F74">
        <w:trPr>
          <w:trHeight w:val="564"/>
        </w:trPr>
        <w:tc>
          <w:tcPr>
            <w:tcW w:w="546" w:type="pct"/>
            <w:tcBorders>
              <w:top w:val="nil"/>
              <w:left w:val="single" w:sz="8" w:space="0" w:color="49938D"/>
              <w:bottom w:val="single" w:sz="8" w:space="0" w:color="49938D"/>
              <w:right w:val="single" w:sz="8" w:space="0" w:color="49938D"/>
            </w:tcBorders>
            <w:shd w:val="clear" w:color="000000" w:fill="FF6600"/>
            <w:noWrap/>
            <w:vAlign w:val="center"/>
            <w:hideMark/>
          </w:tcPr>
          <w:p w14:paraId="44285726" w14:textId="77777777" w:rsidR="005304E5" w:rsidRPr="00350368" w:rsidRDefault="005304E5" w:rsidP="005304E5">
            <w:pPr>
              <w:spacing w:after="0" w:line="240" w:lineRule="auto"/>
              <w:jc w:val="center"/>
              <w:rPr>
                <w:rFonts w:ascii="Aptos" w:eastAsia="Times New Roman" w:hAnsi="Aptos" w:cs="Times New Roman"/>
                <w:b/>
                <w:bCs/>
                <w:color w:val="000000"/>
                <w:lang w:val="en-GB" w:eastAsia="en-GB"/>
              </w:rPr>
            </w:pPr>
            <w:r w:rsidRPr="00350368">
              <w:rPr>
                <w:rFonts w:ascii="Aptos" w:eastAsia="Times New Roman" w:hAnsi="Aptos" w:cs="Times New Roman"/>
                <w:b/>
                <w:bCs/>
                <w:color w:val="000000"/>
                <w:lang w:val="en-GB" w:eastAsia="en-GB"/>
              </w:rPr>
              <w:t>1</w:t>
            </w:r>
          </w:p>
        </w:tc>
        <w:tc>
          <w:tcPr>
            <w:tcW w:w="1180" w:type="pct"/>
            <w:tcBorders>
              <w:top w:val="nil"/>
              <w:left w:val="nil"/>
              <w:bottom w:val="single" w:sz="8" w:space="0" w:color="49938D"/>
              <w:right w:val="single" w:sz="8" w:space="0" w:color="49938D"/>
            </w:tcBorders>
            <w:noWrap/>
            <w:vAlign w:val="center"/>
            <w:hideMark/>
          </w:tcPr>
          <w:p w14:paraId="5AA42BBD" w14:textId="77777777" w:rsidR="005304E5" w:rsidRPr="00350368" w:rsidRDefault="005304E5" w:rsidP="005304E5">
            <w:pPr>
              <w:spacing w:after="0" w:line="240" w:lineRule="auto"/>
              <w:rPr>
                <w:rFonts w:ascii="Aptos" w:eastAsia="Times New Roman" w:hAnsi="Aptos" w:cs="Times New Roman"/>
                <w:color w:val="000000"/>
                <w:lang w:val="en-GB" w:eastAsia="en-GB"/>
              </w:rPr>
            </w:pPr>
            <w:r w:rsidRPr="00350368">
              <w:rPr>
                <w:rFonts w:ascii="Aptos" w:eastAsia="Times New Roman" w:hAnsi="Aptos" w:cs="Times New Roman"/>
                <w:color w:val="000000"/>
                <w:lang w:val="en-GB" w:eastAsia="en-GB"/>
              </w:rPr>
              <w:t>Moderate Adaptive Capacity</w:t>
            </w:r>
          </w:p>
        </w:tc>
        <w:tc>
          <w:tcPr>
            <w:tcW w:w="3274" w:type="pct"/>
            <w:tcBorders>
              <w:top w:val="nil"/>
              <w:left w:val="nil"/>
              <w:bottom w:val="single" w:sz="8" w:space="0" w:color="49938D"/>
              <w:right w:val="single" w:sz="8" w:space="0" w:color="49938D"/>
            </w:tcBorders>
            <w:vAlign w:val="center"/>
            <w:hideMark/>
          </w:tcPr>
          <w:p w14:paraId="672ED0D1" w14:textId="77777777" w:rsidR="005304E5" w:rsidRPr="00350368" w:rsidRDefault="005304E5" w:rsidP="005304E5">
            <w:pPr>
              <w:spacing w:after="0" w:line="240" w:lineRule="auto"/>
              <w:rPr>
                <w:rFonts w:ascii="Aptos" w:eastAsia="Times New Roman" w:hAnsi="Aptos" w:cs="Times New Roman"/>
                <w:color w:val="000000"/>
                <w:lang w:val="en-GB" w:eastAsia="en-GB"/>
              </w:rPr>
            </w:pPr>
            <w:r w:rsidRPr="00350368">
              <w:rPr>
                <w:rFonts w:ascii="Aptos" w:eastAsia="Times New Roman" w:hAnsi="Aptos" w:cs="Times New Roman"/>
                <w:color w:val="000000"/>
                <w:lang w:val="en-GB" w:eastAsia="en-GB"/>
              </w:rPr>
              <w:t xml:space="preserve">Either some local or national policies and programmes in place, that may </w:t>
            </w:r>
            <w:r w:rsidRPr="00350368">
              <w:rPr>
                <w:rFonts w:ascii="Aptos" w:eastAsia="Times New Roman" w:hAnsi="Aptos" w:cs="Times New Roman"/>
                <w:color w:val="000000"/>
                <w:u w:val="single"/>
                <w:lang w:val="en-GB" w:eastAsia="en-GB"/>
              </w:rPr>
              <w:t xml:space="preserve">indirectly </w:t>
            </w:r>
            <w:r w:rsidRPr="00350368">
              <w:rPr>
                <w:rFonts w:ascii="Aptos" w:eastAsia="Times New Roman" w:hAnsi="Aptos" w:cs="Times New Roman"/>
                <w:color w:val="000000"/>
                <w:lang w:val="en-GB" w:eastAsia="en-GB"/>
              </w:rPr>
              <w:t>address risk/opportunity or are limited in scope</w:t>
            </w:r>
          </w:p>
        </w:tc>
      </w:tr>
      <w:tr w:rsidR="005304E5" w:rsidRPr="00350368" w14:paraId="267CE8DD" w14:textId="77777777" w:rsidTr="00904F74">
        <w:trPr>
          <w:trHeight w:val="564"/>
        </w:trPr>
        <w:tc>
          <w:tcPr>
            <w:tcW w:w="546" w:type="pct"/>
            <w:tcBorders>
              <w:top w:val="nil"/>
              <w:left w:val="single" w:sz="8" w:space="0" w:color="49938D"/>
              <w:bottom w:val="single" w:sz="8" w:space="0" w:color="49938D"/>
              <w:right w:val="single" w:sz="8" w:space="0" w:color="49938D"/>
            </w:tcBorders>
            <w:shd w:val="clear" w:color="000000" w:fill="FFCC66"/>
            <w:noWrap/>
            <w:vAlign w:val="center"/>
            <w:hideMark/>
          </w:tcPr>
          <w:p w14:paraId="4FD7329C" w14:textId="77777777" w:rsidR="005304E5" w:rsidRPr="00350368" w:rsidRDefault="005304E5" w:rsidP="005304E5">
            <w:pPr>
              <w:spacing w:after="0" w:line="240" w:lineRule="auto"/>
              <w:jc w:val="center"/>
              <w:rPr>
                <w:rFonts w:ascii="Aptos" w:eastAsia="Times New Roman" w:hAnsi="Aptos" w:cs="Times New Roman"/>
                <w:b/>
                <w:bCs/>
                <w:color w:val="000000"/>
                <w:lang w:val="en-GB" w:eastAsia="en-GB"/>
              </w:rPr>
            </w:pPr>
            <w:r w:rsidRPr="00350368">
              <w:rPr>
                <w:rFonts w:ascii="Aptos" w:eastAsia="Times New Roman" w:hAnsi="Aptos" w:cs="Times New Roman"/>
                <w:b/>
                <w:bCs/>
                <w:color w:val="000000"/>
                <w:lang w:val="en-GB" w:eastAsia="en-GB"/>
              </w:rPr>
              <w:t>2</w:t>
            </w:r>
          </w:p>
        </w:tc>
        <w:tc>
          <w:tcPr>
            <w:tcW w:w="1180" w:type="pct"/>
            <w:tcBorders>
              <w:top w:val="nil"/>
              <w:left w:val="nil"/>
              <w:bottom w:val="single" w:sz="8" w:space="0" w:color="49938D"/>
              <w:right w:val="single" w:sz="8" w:space="0" w:color="49938D"/>
            </w:tcBorders>
            <w:noWrap/>
            <w:vAlign w:val="center"/>
            <w:hideMark/>
          </w:tcPr>
          <w:p w14:paraId="0DBD7380" w14:textId="77777777" w:rsidR="005304E5" w:rsidRPr="00350368" w:rsidRDefault="005304E5" w:rsidP="005304E5">
            <w:pPr>
              <w:spacing w:after="0" w:line="240" w:lineRule="auto"/>
              <w:rPr>
                <w:rFonts w:ascii="Aptos" w:eastAsia="Times New Roman" w:hAnsi="Aptos" w:cs="Times New Roman"/>
                <w:color w:val="000000"/>
                <w:lang w:val="en-GB" w:eastAsia="en-GB"/>
              </w:rPr>
            </w:pPr>
            <w:r w:rsidRPr="00350368">
              <w:rPr>
                <w:rFonts w:ascii="Aptos" w:eastAsia="Times New Roman" w:hAnsi="Aptos" w:cs="Times New Roman"/>
                <w:color w:val="000000"/>
                <w:lang w:val="en-GB" w:eastAsia="en-GB"/>
              </w:rPr>
              <w:t>Significant Adaptive Capacity</w:t>
            </w:r>
          </w:p>
        </w:tc>
        <w:tc>
          <w:tcPr>
            <w:tcW w:w="3274" w:type="pct"/>
            <w:tcBorders>
              <w:top w:val="nil"/>
              <w:left w:val="nil"/>
              <w:bottom w:val="single" w:sz="8" w:space="0" w:color="49938D"/>
              <w:right w:val="single" w:sz="8" w:space="0" w:color="49938D"/>
            </w:tcBorders>
            <w:vAlign w:val="center"/>
            <w:hideMark/>
          </w:tcPr>
          <w:p w14:paraId="3804AD66" w14:textId="77777777" w:rsidR="005304E5" w:rsidRPr="00350368" w:rsidRDefault="005304E5" w:rsidP="005304E5">
            <w:pPr>
              <w:spacing w:after="0" w:line="240" w:lineRule="auto"/>
              <w:rPr>
                <w:rFonts w:ascii="Aptos" w:eastAsia="Times New Roman" w:hAnsi="Aptos" w:cs="Times New Roman"/>
                <w:color w:val="000000"/>
                <w:lang w:val="en-GB" w:eastAsia="en-GB"/>
              </w:rPr>
            </w:pPr>
            <w:r w:rsidRPr="00350368">
              <w:rPr>
                <w:rFonts w:ascii="Aptos" w:eastAsia="Times New Roman" w:hAnsi="Aptos" w:cs="Times New Roman"/>
                <w:color w:val="000000"/>
                <w:lang w:val="en-GB" w:eastAsia="en-GB"/>
              </w:rPr>
              <w:t xml:space="preserve">Either local or national policies and programmes in place specifically addressing risk, but there are still gaps </w:t>
            </w:r>
          </w:p>
        </w:tc>
      </w:tr>
      <w:tr w:rsidR="005304E5" w:rsidRPr="00350368" w14:paraId="294167EF" w14:textId="77777777" w:rsidTr="00904F74">
        <w:trPr>
          <w:trHeight w:val="564"/>
        </w:trPr>
        <w:tc>
          <w:tcPr>
            <w:tcW w:w="546" w:type="pct"/>
            <w:tcBorders>
              <w:top w:val="nil"/>
              <w:left w:val="single" w:sz="8" w:space="0" w:color="49938D"/>
              <w:bottom w:val="single" w:sz="8" w:space="0" w:color="49938D"/>
              <w:right w:val="single" w:sz="8" w:space="0" w:color="49938D"/>
            </w:tcBorders>
            <w:shd w:val="clear" w:color="000000" w:fill="92D050"/>
            <w:noWrap/>
            <w:vAlign w:val="center"/>
            <w:hideMark/>
          </w:tcPr>
          <w:p w14:paraId="20FE32B7" w14:textId="77777777" w:rsidR="005304E5" w:rsidRPr="00350368" w:rsidRDefault="005304E5" w:rsidP="005304E5">
            <w:pPr>
              <w:spacing w:after="0" w:line="240" w:lineRule="auto"/>
              <w:jc w:val="center"/>
              <w:rPr>
                <w:rFonts w:ascii="Aptos" w:eastAsia="Times New Roman" w:hAnsi="Aptos" w:cs="Times New Roman"/>
                <w:b/>
                <w:bCs/>
                <w:color w:val="000000"/>
                <w:lang w:val="en-GB" w:eastAsia="en-GB"/>
              </w:rPr>
            </w:pPr>
            <w:r w:rsidRPr="00350368">
              <w:rPr>
                <w:rFonts w:ascii="Aptos" w:eastAsia="Times New Roman" w:hAnsi="Aptos" w:cs="Times New Roman"/>
                <w:b/>
                <w:bCs/>
                <w:color w:val="000000"/>
                <w:lang w:val="en-GB" w:eastAsia="en-GB"/>
              </w:rPr>
              <w:t>3</w:t>
            </w:r>
          </w:p>
        </w:tc>
        <w:tc>
          <w:tcPr>
            <w:tcW w:w="1180" w:type="pct"/>
            <w:tcBorders>
              <w:top w:val="nil"/>
              <w:left w:val="nil"/>
              <w:bottom w:val="single" w:sz="8" w:space="0" w:color="49938D"/>
              <w:right w:val="single" w:sz="8" w:space="0" w:color="49938D"/>
            </w:tcBorders>
            <w:noWrap/>
            <w:vAlign w:val="center"/>
            <w:hideMark/>
          </w:tcPr>
          <w:p w14:paraId="52EC5472" w14:textId="77777777" w:rsidR="005304E5" w:rsidRPr="00350368" w:rsidRDefault="005304E5" w:rsidP="005304E5">
            <w:pPr>
              <w:spacing w:after="0" w:line="240" w:lineRule="auto"/>
              <w:rPr>
                <w:rFonts w:ascii="Aptos" w:eastAsia="Times New Roman" w:hAnsi="Aptos" w:cs="Times New Roman"/>
                <w:color w:val="000000"/>
                <w:lang w:val="en-GB" w:eastAsia="en-GB"/>
              </w:rPr>
            </w:pPr>
            <w:r w:rsidRPr="00350368">
              <w:rPr>
                <w:rFonts w:ascii="Aptos" w:eastAsia="Times New Roman" w:hAnsi="Aptos" w:cs="Times New Roman"/>
                <w:color w:val="000000"/>
                <w:lang w:val="en-GB" w:eastAsia="en-GB"/>
              </w:rPr>
              <w:t>High Adaptive Capacity</w:t>
            </w:r>
          </w:p>
        </w:tc>
        <w:tc>
          <w:tcPr>
            <w:tcW w:w="3274" w:type="pct"/>
            <w:tcBorders>
              <w:top w:val="nil"/>
              <w:left w:val="nil"/>
              <w:bottom w:val="single" w:sz="8" w:space="0" w:color="49938D"/>
              <w:right w:val="single" w:sz="8" w:space="0" w:color="49938D"/>
            </w:tcBorders>
            <w:vAlign w:val="center"/>
            <w:hideMark/>
          </w:tcPr>
          <w:p w14:paraId="4F707B92" w14:textId="77777777" w:rsidR="005304E5" w:rsidRPr="00350368" w:rsidRDefault="005304E5" w:rsidP="005304E5">
            <w:pPr>
              <w:spacing w:after="0" w:line="240" w:lineRule="auto"/>
              <w:rPr>
                <w:rFonts w:ascii="Aptos" w:eastAsia="Times New Roman" w:hAnsi="Aptos" w:cs="Times New Roman"/>
                <w:color w:val="000000"/>
                <w:lang w:val="en-GB" w:eastAsia="en-GB"/>
              </w:rPr>
            </w:pPr>
            <w:r w:rsidRPr="00350368">
              <w:rPr>
                <w:rFonts w:ascii="Aptos" w:eastAsia="Times New Roman" w:hAnsi="Aptos" w:cs="Times New Roman"/>
                <w:color w:val="000000"/>
                <w:lang w:val="en-GB" w:eastAsia="en-GB"/>
              </w:rPr>
              <w:t>Well established systems (policies, programmes) that are currently addressing this risk</w:t>
            </w:r>
          </w:p>
        </w:tc>
      </w:tr>
    </w:tbl>
    <w:p w14:paraId="04C4D96C" w14:textId="77777777" w:rsidR="005304E5" w:rsidRPr="00350368" w:rsidRDefault="005304E5" w:rsidP="005304E5">
      <w:pPr>
        <w:rPr>
          <w:lang w:val="en-GB"/>
        </w:rPr>
      </w:pPr>
    </w:p>
    <w:p w14:paraId="4C0D0734" w14:textId="77777777" w:rsidR="001C414F" w:rsidRPr="00350368" w:rsidRDefault="005304E5" w:rsidP="00CB42FD">
      <w:pPr>
        <w:pStyle w:val="Heading2"/>
      </w:pPr>
      <w:r w:rsidRPr="00350368">
        <w:t>Vulnerab</w:t>
      </w:r>
      <w:r w:rsidR="001C414F" w:rsidRPr="00350368">
        <w:t>i</w:t>
      </w:r>
      <w:r w:rsidRPr="00350368">
        <w:t>l</w:t>
      </w:r>
      <w:r w:rsidR="001C414F" w:rsidRPr="00350368">
        <w:t>ity</w:t>
      </w:r>
    </w:p>
    <w:p w14:paraId="615484F6" w14:textId="0255D635" w:rsidR="00CB42FD" w:rsidRPr="00350368" w:rsidRDefault="00A8131A" w:rsidP="00CB42FD">
      <w:pPr>
        <w:rPr>
          <w:lang w:val="en-GB" w:eastAsia="en-US"/>
        </w:rPr>
      </w:pPr>
      <w:r w:rsidRPr="00350368">
        <w:rPr>
          <w:lang w:val="en-GB" w:eastAsia="en-US"/>
        </w:rPr>
        <w:t>The final vulnerability score is calculated by adding the exposure and sensitivity scores, then subtracting the adaptive capacity score. Vulnerability is then categorised from Very High to Very Low depending on the final score.</w:t>
      </w:r>
    </w:p>
    <w:tbl>
      <w:tblPr>
        <w:tblW w:w="0" w:type="auto"/>
        <w:tblLook w:val="04A0" w:firstRow="1" w:lastRow="0" w:firstColumn="1" w:lastColumn="0" w:noHBand="0" w:noVBand="1"/>
      </w:tblPr>
      <w:tblGrid>
        <w:gridCol w:w="1550"/>
        <w:gridCol w:w="3118"/>
      </w:tblGrid>
      <w:tr w:rsidR="00CB42FD" w:rsidRPr="00350368" w14:paraId="7179213F" w14:textId="77777777" w:rsidTr="00904F74">
        <w:trPr>
          <w:trHeight w:val="300"/>
        </w:trPr>
        <w:tc>
          <w:tcPr>
            <w:tcW w:w="1550" w:type="dxa"/>
            <w:tcBorders>
              <w:top w:val="single" w:sz="8" w:space="0" w:color="47928D"/>
              <w:left w:val="single" w:sz="8" w:space="0" w:color="47928D"/>
              <w:bottom w:val="single" w:sz="8" w:space="0" w:color="47928D"/>
              <w:right w:val="nil"/>
            </w:tcBorders>
            <w:shd w:val="clear" w:color="000000" w:fill="47928D"/>
            <w:noWrap/>
            <w:vAlign w:val="center"/>
            <w:hideMark/>
          </w:tcPr>
          <w:p w14:paraId="07EEEADB" w14:textId="77777777" w:rsidR="00CB42FD" w:rsidRPr="00350368" w:rsidRDefault="00CB42FD" w:rsidP="00904F74">
            <w:pPr>
              <w:spacing w:line="240" w:lineRule="auto"/>
              <w:rPr>
                <w:rFonts w:ascii="Aptos" w:eastAsia="Times New Roman" w:hAnsi="Aptos" w:cs="Times New Roman"/>
                <w:b/>
                <w:bCs/>
                <w:color w:val="FFFFFF"/>
                <w:lang w:val="en-GB" w:eastAsia="en-GB"/>
              </w:rPr>
            </w:pPr>
            <w:r w:rsidRPr="00350368">
              <w:rPr>
                <w:rFonts w:ascii="Aptos" w:eastAsia="Times New Roman" w:hAnsi="Aptos" w:cs="Times New Roman"/>
                <w:b/>
                <w:bCs/>
                <w:color w:val="FFFFFF"/>
                <w:lang w:val="en-GB" w:eastAsia="en-GB"/>
              </w:rPr>
              <w:t>Score</w:t>
            </w:r>
          </w:p>
        </w:tc>
        <w:tc>
          <w:tcPr>
            <w:tcW w:w="3118" w:type="dxa"/>
            <w:tcBorders>
              <w:top w:val="single" w:sz="8" w:space="0" w:color="47928D"/>
              <w:left w:val="nil"/>
              <w:bottom w:val="single" w:sz="8" w:space="0" w:color="47928D"/>
              <w:right w:val="single" w:sz="8" w:space="0" w:color="47928D"/>
            </w:tcBorders>
            <w:shd w:val="clear" w:color="000000" w:fill="47928D"/>
            <w:noWrap/>
            <w:vAlign w:val="center"/>
            <w:hideMark/>
          </w:tcPr>
          <w:p w14:paraId="73B49305" w14:textId="77777777" w:rsidR="00CB42FD" w:rsidRPr="00350368" w:rsidRDefault="00CB42FD" w:rsidP="00904F74">
            <w:pPr>
              <w:spacing w:line="240" w:lineRule="auto"/>
              <w:rPr>
                <w:rFonts w:ascii="Aptos" w:eastAsia="Times New Roman" w:hAnsi="Aptos" w:cs="Times New Roman"/>
                <w:b/>
                <w:bCs/>
                <w:color w:val="FFFFFF"/>
                <w:lang w:val="en-GB" w:eastAsia="en-GB"/>
              </w:rPr>
            </w:pPr>
            <w:r w:rsidRPr="00350368">
              <w:rPr>
                <w:rFonts w:ascii="Aptos" w:eastAsia="Times New Roman" w:hAnsi="Aptos" w:cs="Times New Roman"/>
                <w:b/>
                <w:bCs/>
                <w:color w:val="FFFFFF"/>
                <w:lang w:val="en-GB" w:eastAsia="en-GB"/>
              </w:rPr>
              <w:t>Rating</w:t>
            </w:r>
          </w:p>
        </w:tc>
      </w:tr>
      <w:tr w:rsidR="00A52039" w:rsidRPr="00350368" w14:paraId="77C17ABC" w14:textId="77777777" w:rsidTr="00904F74">
        <w:trPr>
          <w:trHeight w:val="300"/>
        </w:trPr>
        <w:tc>
          <w:tcPr>
            <w:tcW w:w="1550" w:type="dxa"/>
            <w:tcBorders>
              <w:top w:val="nil"/>
              <w:left w:val="single" w:sz="8" w:space="0" w:color="49938D"/>
              <w:bottom w:val="single" w:sz="8" w:space="0" w:color="49938D"/>
              <w:right w:val="single" w:sz="8" w:space="0" w:color="49938D"/>
            </w:tcBorders>
            <w:shd w:val="clear" w:color="000000" w:fill="FF0000"/>
            <w:noWrap/>
            <w:vAlign w:val="center"/>
            <w:hideMark/>
          </w:tcPr>
          <w:p w14:paraId="4EFD6698" w14:textId="77777777" w:rsidR="00A52039" w:rsidRPr="00350368" w:rsidRDefault="00A52039" w:rsidP="00904F74">
            <w:pPr>
              <w:spacing w:line="240" w:lineRule="auto"/>
              <w:jc w:val="center"/>
              <w:rPr>
                <w:rFonts w:ascii="Aptos" w:eastAsia="Times New Roman" w:hAnsi="Aptos" w:cs="Times New Roman"/>
                <w:b/>
                <w:bCs/>
                <w:color w:val="FFFFFF"/>
                <w:lang w:val="en-GB" w:eastAsia="en-GB"/>
              </w:rPr>
            </w:pPr>
            <w:r w:rsidRPr="00350368">
              <w:rPr>
                <w:rFonts w:ascii="Aptos" w:eastAsia="Times New Roman" w:hAnsi="Aptos" w:cs="Times New Roman"/>
                <w:b/>
                <w:bCs/>
                <w:color w:val="FFFFFF"/>
                <w:lang w:val="en-GB" w:eastAsia="en-GB"/>
              </w:rPr>
              <w:t>Very High</w:t>
            </w:r>
          </w:p>
        </w:tc>
        <w:tc>
          <w:tcPr>
            <w:tcW w:w="3118" w:type="dxa"/>
            <w:tcBorders>
              <w:top w:val="nil"/>
              <w:left w:val="nil"/>
              <w:bottom w:val="single" w:sz="8" w:space="0" w:color="49938D"/>
              <w:right w:val="single" w:sz="8" w:space="0" w:color="49938D"/>
            </w:tcBorders>
            <w:noWrap/>
            <w:vAlign w:val="center"/>
            <w:hideMark/>
          </w:tcPr>
          <w:p w14:paraId="6A55C708" w14:textId="0B389E70" w:rsidR="00A52039" w:rsidRPr="00350368" w:rsidRDefault="00A52039" w:rsidP="00904F74">
            <w:pPr>
              <w:spacing w:line="240" w:lineRule="auto"/>
              <w:rPr>
                <w:rFonts w:ascii="Aptos" w:eastAsia="Times New Roman" w:hAnsi="Aptos" w:cs="Times New Roman"/>
                <w:color w:val="000000"/>
                <w:lang w:val="en-GB" w:eastAsia="en-GB"/>
              </w:rPr>
            </w:pPr>
            <w:r w:rsidRPr="00350368">
              <w:rPr>
                <w:rFonts w:ascii="Aptos" w:hAnsi="Aptos"/>
                <w:color w:val="000000"/>
                <w:lang w:val="en-GB"/>
              </w:rPr>
              <w:t>Total Score between 5 &amp; 6</w:t>
            </w:r>
          </w:p>
        </w:tc>
      </w:tr>
      <w:tr w:rsidR="00A52039" w:rsidRPr="00350368" w14:paraId="042758E6" w14:textId="77777777" w:rsidTr="00904F74">
        <w:trPr>
          <w:trHeight w:val="300"/>
        </w:trPr>
        <w:tc>
          <w:tcPr>
            <w:tcW w:w="1550" w:type="dxa"/>
            <w:tcBorders>
              <w:top w:val="nil"/>
              <w:left w:val="single" w:sz="8" w:space="0" w:color="49938D"/>
              <w:bottom w:val="single" w:sz="8" w:space="0" w:color="49938D"/>
              <w:right w:val="single" w:sz="8" w:space="0" w:color="49938D"/>
            </w:tcBorders>
            <w:shd w:val="clear" w:color="000000" w:fill="FF6600"/>
            <w:noWrap/>
            <w:vAlign w:val="center"/>
            <w:hideMark/>
          </w:tcPr>
          <w:p w14:paraId="548E6FAA" w14:textId="77777777" w:rsidR="00A52039" w:rsidRPr="00350368" w:rsidRDefault="00A52039" w:rsidP="00904F74">
            <w:pPr>
              <w:spacing w:line="240" w:lineRule="auto"/>
              <w:jc w:val="center"/>
              <w:rPr>
                <w:rFonts w:ascii="Aptos" w:eastAsia="Times New Roman" w:hAnsi="Aptos" w:cs="Times New Roman"/>
                <w:b/>
                <w:bCs/>
                <w:color w:val="FFFFFF"/>
                <w:lang w:val="en-GB" w:eastAsia="en-GB"/>
              </w:rPr>
            </w:pPr>
            <w:r w:rsidRPr="00350368">
              <w:rPr>
                <w:rFonts w:ascii="Aptos" w:eastAsia="Times New Roman" w:hAnsi="Aptos" w:cs="Times New Roman"/>
                <w:b/>
                <w:bCs/>
                <w:color w:val="FFFFFF"/>
                <w:lang w:val="en-GB" w:eastAsia="en-GB"/>
              </w:rPr>
              <w:t>High</w:t>
            </w:r>
          </w:p>
        </w:tc>
        <w:tc>
          <w:tcPr>
            <w:tcW w:w="3118" w:type="dxa"/>
            <w:tcBorders>
              <w:top w:val="nil"/>
              <w:left w:val="nil"/>
              <w:bottom w:val="single" w:sz="8" w:space="0" w:color="49938D"/>
              <w:right w:val="single" w:sz="8" w:space="0" w:color="49938D"/>
            </w:tcBorders>
            <w:noWrap/>
            <w:vAlign w:val="center"/>
            <w:hideMark/>
          </w:tcPr>
          <w:p w14:paraId="775E9FDA" w14:textId="52EF3B11" w:rsidR="00A52039" w:rsidRPr="00350368" w:rsidRDefault="00A52039" w:rsidP="00904F74">
            <w:pPr>
              <w:spacing w:line="240" w:lineRule="auto"/>
              <w:rPr>
                <w:rFonts w:ascii="Aptos" w:eastAsia="Times New Roman" w:hAnsi="Aptos" w:cs="Times New Roman"/>
                <w:color w:val="000000"/>
                <w:lang w:val="en-GB" w:eastAsia="en-GB"/>
              </w:rPr>
            </w:pPr>
            <w:r w:rsidRPr="00350368">
              <w:rPr>
                <w:rFonts w:ascii="Aptos" w:hAnsi="Aptos"/>
                <w:color w:val="000000"/>
                <w:lang w:val="en-GB"/>
              </w:rPr>
              <w:t>Total Score between 3 &amp; 4</w:t>
            </w:r>
          </w:p>
        </w:tc>
      </w:tr>
      <w:tr w:rsidR="00A52039" w:rsidRPr="00350368" w14:paraId="4CB6298C" w14:textId="77777777" w:rsidTr="00904F74">
        <w:trPr>
          <w:trHeight w:val="300"/>
        </w:trPr>
        <w:tc>
          <w:tcPr>
            <w:tcW w:w="1550" w:type="dxa"/>
            <w:tcBorders>
              <w:top w:val="nil"/>
              <w:left w:val="single" w:sz="8" w:space="0" w:color="49938D"/>
              <w:bottom w:val="single" w:sz="8" w:space="0" w:color="49938D"/>
              <w:right w:val="single" w:sz="8" w:space="0" w:color="49938D"/>
            </w:tcBorders>
            <w:shd w:val="clear" w:color="000000" w:fill="FFCC66"/>
            <w:noWrap/>
            <w:vAlign w:val="center"/>
            <w:hideMark/>
          </w:tcPr>
          <w:p w14:paraId="748A15D7" w14:textId="77777777" w:rsidR="00A52039" w:rsidRPr="00350368" w:rsidRDefault="00A52039" w:rsidP="00904F74">
            <w:pPr>
              <w:spacing w:line="240" w:lineRule="auto"/>
              <w:jc w:val="center"/>
              <w:rPr>
                <w:rFonts w:ascii="Aptos" w:eastAsia="Times New Roman" w:hAnsi="Aptos" w:cs="Times New Roman"/>
                <w:b/>
                <w:bCs/>
                <w:color w:val="000000"/>
                <w:lang w:val="en-GB" w:eastAsia="en-GB"/>
              </w:rPr>
            </w:pPr>
            <w:r w:rsidRPr="00350368">
              <w:rPr>
                <w:rFonts w:ascii="Aptos" w:eastAsia="Times New Roman" w:hAnsi="Aptos" w:cs="Times New Roman"/>
                <w:b/>
                <w:bCs/>
                <w:color w:val="000000"/>
                <w:lang w:val="en-GB" w:eastAsia="en-GB"/>
              </w:rPr>
              <w:t>Medium</w:t>
            </w:r>
          </w:p>
        </w:tc>
        <w:tc>
          <w:tcPr>
            <w:tcW w:w="3118" w:type="dxa"/>
            <w:tcBorders>
              <w:top w:val="nil"/>
              <w:left w:val="nil"/>
              <w:bottom w:val="single" w:sz="8" w:space="0" w:color="49938D"/>
              <w:right w:val="single" w:sz="8" w:space="0" w:color="49938D"/>
            </w:tcBorders>
            <w:noWrap/>
            <w:vAlign w:val="center"/>
            <w:hideMark/>
          </w:tcPr>
          <w:p w14:paraId="7074D256" w14:textId="7CA06FEE" w:rsidR="00A52039" w:rsidRPr="00350368" w:rsidRDefault="00A52039" w:rsidP="00904F74">
            <w:pPr>
              <w:spacing w:line="240" w:lineRule="auto"/>
              <w:rPr>
                <w:rFonts w:ascii="Aptos" w:eastAsia="Times New Roman" w:hAnsi="Aptos" w:cs="Times New Roman"/>
                <w:color w:val="000000"/>
                <w:lang w:val="en-GB" w:eastAsia="en-GB"/>
              </w:rPr>
            </w:pPr>
            <w:r w:rsidRPr="00350368">
              <w:rPr>
                <w:rFonts w:ascii="Aptos" w:hAnsi="Aptos"/>
                <w:color w:val="000000"/>
                <w:lang w:val="en-GB"/>
              </w:rPr>
              <w:t>Total Score between 1 &amp; 2</w:t>
            </w:r>
          </w:p>
        </w:tc>
      </w:tr>
      <w:tr w:rsidR="00A52039" w:rsidRPr="00350368" w14:paraId="38F94E2D" w14:textId="77777777" w:rsidTr="00904F74">
        <w:trPr>
          <w:trHeight w:val="300"/>
        </w:trPr>
        <w:tc>
          <w:tcPr>
            <w:tcW w:w="1550" w:type="dxa"/>
            <w:tcBorders>
              <w:top w:val="nil"/>
              <w:left w:val="single" w:sz="8" w:space="0" w:color="49938D"/>
              <w:bottom w:val="single" w:sz="8" w:space="0" w:color="49938D"/>
              <w:right w:val="single" w:sz="8" w:space="0" w:color="49938D"/>
            </w:tcBorders>
            <w:shd w:val="clear" w:color="000000" w:fill="92D050"/>
            <w:noWrap/>
            <w:vAlign w:val="center"/>
            <w:hideMark/>
          </w:tcPr>
          <w:p w14:paraId="0364C6E4" w14:textId="77777777" w:rsidR="00A52039" w:rsidRPr="00350368" w:rsidRDefault="00A52039" w:rsidP="00904F74">
            <w:pPr>
              <w:spacing w:line="240" w:lineRule="auto"/>
              <w:jc w:val="center"/>
              <w:rPr>
                <w:rFonts w:ascii="Aptos" w:eastAsia="Times New Roman" w:hAnsi="Aptos" w:cs="Times New Roman"/>
                <w:b/>
                <w:bCs/>
                <w:color w:val="000000"/>
                <w:lang w:val="en-GB" w:eastAsia="en-GB"/>
              </w:rPr>
            </w:pPr>
            <w:r w:rsidRPr="00350368">
              <w:rPr>
                <w:rFonts w:ascii="Aptos" w:eastAsia="Times New Roman" w:hAnsi="Aptos" w:cs="Times New Roman"/>
                <w:b/>
                <w:bCs/>
                <w:color w:val="000000"/>
                <w:lang w:val="en-GB" w:eastAsia="en-GB"/>
              </w:rPr>
              <w:t>Low</w:t>
            </w:r>
          </w:p>
        </w:tc>
        <w:tc>
          <w:tcPr>
            <w:tcW w:w="3118" w:type="dxa"/>
            <w:tcBorders>
              <w:top w:val="nil"/>
              <w:left w:val="nil"/>
              <w:bottom w:val="single" w:sz="8" w:space="0" w:color="49938D"/>
              <w:right w:val="single" w:sz="8" w:space="0" w:color="49938D"/>
            </w:tcBorders>
            <w:noWrap/>
            <w:vAlign w:val="center"/>
            <w:hideMark/>
          </w:tcPr>
          <w:p w14:paraId="4C2EC2F0" w14:textId="4F81D0F5" w:rsidR="00A52039" w:rsidRPr="00350368" w:rsidRDefault="00A52039" w:rsidP="00904F74">
            <w:pPr>
              <w:spacing w:line="240" w:lineRule="auto"/>
              <w:rPr>
                <w:rFonts w:ascii="Aptos" w:eastAsia="Times New Roman" w:hAnsi="Aptos" w:cs="Times New Roman"/>
                <w:color w:val="000000"/>
                <w:lang w:val="en-GB" w:eastAsia="en-GB"/>
              </w:rPr>
            </w:pPr>
            <w:r w:rsidRPr="00350368">
              <w:rPr>
                <w:rFonts w:ascii="Aptos" w:hAnsi="Aptos"/>
                <w:color w:val="000000"/>
                <w:lang w:val="en-GB"/>
              </w:rPr>
              <w:t>Total Score between -1 &amp; 0</w:t>
            </w:r>
          </w:p>
        </w:tc>
      </w:tr>
      <w:tr w:rsidR="00A52039" w:rsidRPr="00350368" w14:paraId="6AF35340" w14:textId="77777777" w:rsidTr="00904F74">
        <w:trPr>
          <w:trHeight w:val="300"/>
        </w:trPr>
        <w:tc>
          <w:tcPr>
            <w:tcW w:w="1550" w:type="dxa"/>
            <w:tcBorders>
              <w:top w:val="nil"/>
              <w:left w:val="single" w:sz="8" w:space="0" w:color="49938D"/>
              <w:bottom w:val="single" w:sz="8" w:space="0" w:color="49938D"/>
              <w:right w:val="single" w:sz="8" w:space="0" w:color="49938D"/>
            </w:tcBorders>
            <w:shd w:val="clear" w:color="000000" w:fill="DAF2D0"/>
            <w:noWrap/>
            <w:vAlign w:val="center"/>
            <w:hideMark/>
          </w:tcPr>
          <w:p w14:paraId="4F38D7C8" w14:textId="77777777" w:rsidR="00A52039" w:rsidRPr="00350368" w:rsidRDefault="00A52039" w:rsidP="00904F74">
            <w:pPr>
              <w:spacing w:line="240" w:lineRule="auto"/>
              <w:jc w:val="center"/>
              <w:rPr>
                <w:rFonts w:ascii="Aptos" w:eastAsia="Times New Roman" w:hAnsi="Aptos" w:cs="Times New Roman"/>
                <w:b/>
                <w:bCs/>
                <w:color w:val="000000"/>
                <w:lang w:val="en-GB" w:eastAsia="en-GB"/>
              </w:rPr>
            </w:pPr>
            <w:r w:rsidRPr="00350368">
              <w:rPr>
                <w:rFonts w:ascii="Aptos" w:eastAsia="Times New Roman" w:hAnsi="Aptos" w:cs="Times New Roman"/>
                <w:b/>
                <w:bCs/>
                <w:color w:val="000000"/>
                <w:lang w:val="en-GB" w:eastAsia="en-GB"/>
              </w:rPr>
              <w:t>Very Low</w:t>
            </w:r>
          </w:p>
        </w:tc>
        <w:tc>
          <w:tcPr>
            <w:tcW w:w="3118" w:type="dxa"/>
            <w:tcBorders>
              <w:top w:val="nil"/>
              <w:left w:val="nil"/>
              <w:bottom w:val="single" w:sz="8" w:space="0" w:color="49938D"/>
              <w:right w:val="single" w:sz="8" w:space="0" w:color="49938D"/>
            </w:tcBorders>
            <w:noWrap/>
            <w:vAlign w:val="center"/>
            <w:hideMark/>
          </w:tcPr>
          <w:p w14:paraId="52BAFFC7" w14:textId="49E87D34" w:rsidR="00A52039" w:rsidRPr="00350368" w:rsidRDefault="00A52039" w:rsidP="00904F74">
            <w:pPr>
              <w:spacing w:line="240" w:lineRule="auto"/>
              <w:rPr>
                <w:rFonts w:ascii="Aptos" w:eastAsia="Times New Roman" w:hAnsi="Aptos" w:cs="Times New Roman"/>
                <w:color w:val="000000"/>
                <w:lang w:val="en-GB" w:eastAsia="en-GB"/>
              </w:rPr>
            </w:pPr>
            <w:r w:rsidRPr="00350368">
              <w:rPr>
                <w:rFonts w:ascii="Aptos" w:hAnsi="Aptos"/>
                <w:color w:val="000000"/>
                <w:lang w:val="en-GB"/>
              </w:rPr>
              <w:t>Total Score between -3 &amp; -2</w:t>
            </w:r>
          </w:p>
        </w:tc>
      </w:tr>
    </w:tbl>
    <w:p w14:paraId="00317953" w14:textId="41E367AC" w:rsidR="00544ADD" w:rsidRPr="00350368" w:rsidRDefault="00544ADD" w:rsidP="005304E5">
      <w:pPr>
        <w:rPr>
          <w:lang w:val="en-GB"/>
        </w:rPr>
      </w:pPr>
      <w:r w:rsidRPr="00350368">
        <w:rPr>
          <w:lang w:val="en-GB"/>
        </w:rPr>
        <w:tab/>
      </w:r>
    </w:p>
    <w:sectPr w:rsidR="00544ADD" w:rsidRPr="00350368">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E8904A" w14:textId="77777777" w:rsidR="00721087" w:rsidRDefault="00721087" w:rsidP="005B2702">
      <w:pPr>
        <w:spacing w:after="0" w:line="240" w:lineRule="auto"/>
      </w:pPr>
      <w:r>
        <w:separator/>
      </w:r>
    </w:p>
  </w:endnote>
  <w:endnote w:type="continuationSeparator" w:id="0">
    <w:p w14:paraId="527B20DD" w14:textId="77777777" w:rsidR="00721087" w:rsidRDefault="00721087" w:rsidP="005B27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BE7BD" w14:textId="77777777" w:rsidR="00FC5F2B" w:rsidRDefault="00FC5F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99CF0" w14:textId="3A8C39AD" w:rsidR="00CD3D95" w:rsidRDefault="00CD3D95">
    <w:pPr>
      <w:pStyle w:val="Footer"/>
    </w:pPr>
    <w:r>
      <w:rPr>
        <w:noProof/>
      </w:rPr>
      <w:drawing>
        <wp:anchor distT="0" distB="0" distL="114300" distR="114300" simplePos="0" relativeHeight="251658240" behindDoc="0" locked="0" layoutInCell="1" allowOverlap="1" wp14:anchorId="308D72C5" wp14:editId="38CF2D96">
          <wp:simplePos x="0" y="0"/>
          <wp:positionH relativeFrom="column">
            <wp:posOffset>-929640</wp:posOffset>
          </wp:positionH>
          <wp:positionV relativeFrom="page">
            <wp:posOffset>9974580</wp:posOffset>
          </wp:positionV>
          <wp:extent cx="7680960" cy="720090"/>
          <wp:effectExtent l="0" t="0" r="0" b="3810"/>
          <wp:wrapNone/>
          <wp:docPr id="286828968" name="Picture 8" descr="0004-CAGC-CAG%20Word%20Document3.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0004-CAGC-CAG%20Word%20Document3.jpg"/>
                  <pic:cNvPicPr>
                    <a:picLocks/>
                  </pic:cNvPicPr>
                </pic:nvPicPr>
                <pic:blipFill>
                  <a:blip r:embed="rId1">
                    <a:extLst>
                      <a:ext uri="{28A0092B-C50C-407E-A947-70E740481C1C}">
                        <a14:useLocalDpi xmlns:a14="http://schemas.microsoft.com/office/drawing/2010/main" val="0"/>
                      </a:ext>
                    </a:extLst>
                  </a:blip>
                  <a:srcRect t="93372"/>
                  <a:stretch>
                    <a:fillRect/>
                  </a:stretch>
                </pic:blipFill>
                <pic:spPr bwMode="auto">
                  <a:xfrm>
                    <a:off x="0" y="0"/>
                    <a:ext cx="7680960" cy="72009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8E746" w14:textId="77777777" w:rsidR="00FC5F2B" w:rsidRDefault="00FC5F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6DEDC8" w14:textId="77777777" w:rsidR="00721087" w:rsidRDefault="00721087" w:rsidP="005B2702">
      <w:pPr>
        <w:spacing w:after="0" w:line="240" w:lineRule="auto"/>
      </w:pPr>
      <w:r>
        <w:separator/>
      </w:r>
    </w:p>
  </w:footnote>
  <w:footnote w:type="continuationSeparator" w:id="0">
    <w:p w14:paraId="2B8A0B2D" w14:textId="77777777" w:rsidR="00721087" w:rsidRDefault="00721087" w:rsidP="005B2702">
      <w:pPr>
        <w:spacing w:after="0" w:line="240" w:lineRule="auto"/>
      </w:pPr>
      <w:r>
        <w:continuationSeparator/>
      </w:r>
    </w:p>
  </w:footnote>
  <w:footnote w:id="1">
    <w:p w14:paraId="56003BE8" w14:textId="77777777" w:rsidR="000C4440" w:rsidRPr="00C137AD" w:rsidRDefault="000C4440" w:rsidP="000C4440">
      <w:pPr>
        <w:pStyle w:val="FootnoteText"/>
        <w:rPr>
          <w:lang w:val="en-GB"/>
        </w:rPr>
      </w:pPr>
      <w:r>
        <w:rPr>
          <w:rStyle w:val="FootnoteReference"/>
        </w:rPr>
        <w:footnoteRef/>
      </w:r>
      <w:r>
        <w:t xml:space="preserve"> </w:t>
      </w:r>
      <w:r>
        <w:rPr>
          <w:lang w:val="en-GB"/>
        </w:rPr>
        <w:t xml:space="preserve">The detailed scoring matrix </w:t>
      </w:r>
      <w:r>
        <w:rPr>
          <w:lang w:val="en-GB" w:eastAsia="en-US"/>
        </w:rPr>
        <w:t xml:space="preserve">is provided in </w:t>
      </w:r>
      <w:r w:rsidRPr="008572D6">
        <w:rPr>
          <w:i/>
          <w:iCs/>
          <w:lang w:val="en-GB" w:eastAsia="en-US"/>
        </w:rPr>
        <w:fldChar w:fldCharType="begin"/>
      </w:r>
      <w:r w:rsidRPr="008572D6">
        <w:rPr>
          <w:i/>
          <w:iCs/>
          <w:lang w:val="en-GB" w:eastAsia="en-US"/>
        </w:rPr>
        <w:instrText xml:space="preserve"> REF _Ref240961110 \h </w:instrText>
      </w:r>
      <w:r>
        <w:rPr>
          <w:i/>
          <w:iCs/>
          <w:lang w:val="en-GB" w:eastAsia="en-US"/>
        </w:rPr>
        <w:instrText xml:space="preserve"> \* MERGEFORMAT </w:instrText>
      </w:r>
      <w:r w:rsidRPr="008572D6">
        <w:rPr>
          <w:i/>
          <w:iCs/>
          <w:lang w:val="en-GB" w:eastAsia="en-US"/>
        </w:rPr>
      </w:r>
      <w:r w:rsidRPr="008572D6">
        <w:rPr>
          <w:i/>
          <w:iCs/>
          <w:lang w:val="en-GB" w:eastAsia="en-US"/>
        </w:rPr>
        <w:fldChar w:fldCharType="separate"/>
      </w:r>
      <w:r w:rsidRPr="008572D6">
        <w:rPr>
          <w:i/>
          <w:iCs/>
        </w:rPr>
        <w:t>Annex: Scoring Matrix</w:t>
      </w:r>
      <w:r w:rsidRPr="008572D6">
        <w:rPr>
          <w:i/>
          <w:iCs/>
          <w:lang w:val="en-GB" w:eastAsia="en-US"/>
        </w:rPr>
        <w:fldChar w:fldCharType="end"/>
      </w:r>
      <w:r w:rsidRPr="00BB6B9A">
        <w:rPr>
          <w:lang w:val="en-GB" w:eastAsia="en-US"/>
        </w:rPr>
        <w:t>.</w:t>
      </w:r>
    </w:p>
  </w:footnote>
  <w:footnote w:id="2">
    <w:p w14:paraId="028B54F1" w14:textId="77777777" w:rsidR="007D41AD" w:rsidRPr="001308BB" w:rsidRDefault="007D41AD" w:rsidP="007D41AD">
      <w:pPr>
        <w:pStyle w:val="FootnoteText"/>
        <w:rPr>
          <w:lang w:val="en-GB"/>
        </w:rPr>
      </w:pPr>
      <w:r>
        <w:rPr>
          <w:rStyle w:val="FootnoteReference"/>
        </w:rPr>
        <w:footnoteRef/>
      </w:r>
      <w:r>
        <w:t xml:space="preserve"> For this report, ‘Navigation’ means a navigable waterway made up of engineered river sections and canal cuts, with structures such as locks and weirs. </w:t>
      </w:r>
    </w:p>
  </w:footnote>
  <w:footnote w:id="3">
    <w:p w14:paraId="1B9C5B2C" w14:textId="77777777" w:rsidR="00E329A0" w:rsidRPr="005E1968" w:rsidRDefault="00E329A0" w:rsidP="00E329A0">
      <w:pPr>
        <w:pStyle w:val="FootnoteText"/>
        <w:rPr>
          <w:lang w:val="en-GB"/>
        </w:rPr>
      </w:pPr>
      <w:r>
        <w:rPr>
          <w:rStyle w:val="FootnoteReference"/>
        </w:rPr>
        <w:footnoteRef/>
      </w:r>
      <w:r>
        <w:t xml:space="preserve"> </w:t>
      </w:r>
      <w:hyperlink r:id="rId1" w:history="1">
        <w:r>
          <w:rPr>
            <w:rStyle w:val="Hyperlink"/>
          </w:rPr>
          <w:t>Local Authority Climate Report | West Yorkshire</w:t>
        </w:r>
      </w:hyperlink>
    </w:p>
  </w:footnote>
  <w:footnote w:id="4">
    <w:p w14:paraId="07C433A6" w14:textId="08A1973D" w:rsidR="001B45E2" w:rsidRPr="001B45E2" w:rsidRDefault="001B45E2">
      <w:pPr>
        <w:pStyle w:val="FootnoteText"/>
        <w:rPr>
          <w:lang w:val="en-GB"/>
        </w:rPr>
      </w:pPr>
      <w:r>
        <w:rPr>
          <w:rStyle w:val="FootnoteReference"/>
        </w:rPr>
        <w:footnoteRef/>
      </w:r>
      <w:r>
        <w:t xml:space="preserve"> </w:t>
      </w:r>
      <w:hyperlink r:id="rId2" w:history="1">
        <w:r w:rsidR="006A5D0E" w:rsidRPr="006A5D0E">
          <w:rPr>
            <w:rStyle w:val="Hyperlink"/>
          </w:rPr>
          <w:t>Climate Change Committee, A Well Adapted UK, 2026</w:t>
        </w:r>
      </w:hyperlink>
      <w:r w:rsidR="006A5D0E">
        <w:t xml:space="preserve"> </w:t>
      </w:r>
    </w:p>
  </w:footnote>
  <w:footnote w:id="5">
    <w:p w14:paraId="6996E01F" w14:textId="7C1E64EF" w:rsidR="001B45E2" w:rsidRPr="001308BB" w:rsidRDefault="001B45E2">
      <w:pPr>
        <w:pStyle w:val="FootnoteText"/>
      </w:pPr>
      <w:r>
        <w:rPr>
          <w:rStyle w:val="FootnoteReference"/>
        </w:rPr>
        <w:footnoteRef/>
      </w:r>
      <w:r>
        <w:t xml:space="preserve"> </w:t>
      </w:r>
      <w:hyperlink r:id="rId3" w:anchor="section-47-6-2-7-risks-to-aviation-and-maritime-transportsystems-%e2%80%93-i7" w:history="1">
        <w:r w:rsidR="00A52335">
          <w:rPr>
            <w:rStyle w:val="Hyperlink"/>
          </w:rPr>
          <w:t>Chapter 6: Infrastructure - UK Climate Risk</w:t>
        </w:r>
      </w:hyperlink>
    </w:p>
  </w:footnote>
  <w:footnote w:id="6">
    <w:p w14:paraId="2C6DAE3C" w14:textId="61909E42" w:rsidR="00B34CBA" w:rsidRDefault="00B34CBA">
      <w:pPr>
        <w:pStyle w:val="FootnoteText"/>
      </w:pPr>
      <w:r>
        <w:rPr>
          <w:rStyle w:val="FootnoteReference"/>
        </w:rPr>
        <w:footnoteRef/>
      </w:r>
      <w:r>
        <w:t xml:space="preserve"> </w:t>
      </w:r>
      <w:hyperlink r:id="rId4" w:history="1">
        <w:r>
          <w:rPr>
            <w:rStyle w:val="Hyperlink"/>
          </w:rPr>
          <w:t>Calder &amp; Hebble Navigation | Canal maps</w:t>
        </w:r>
      </w:hyperlink>
    </w:p>
  </w:footnote>
  <w:footnote w:id="7">
    <w:p w14:paraId="54213D0F" w14:textId="4D47B1E0" w:rsidR="00AE32AC" w:rsidRPr="00EE6B31" w:rsidRDefault="00AE32AC" w:rsidP="006B4A3E">
      <w:pPr>
        <w:spacing w:after="0"/>
      </w:pPr>
      <w:r>
        <w:rPr>
          <w:rStyle w:val="FootnoteReference"/>
        </w:rPr>
        <w:footnoteRef/>
      </w:r>
      <w:r>
        <w:t xml:space="preserve"> </w:t>
      </w:r>
      <w:r w:rsidR="006B4A3E">
        <w:rPr>
          <w:rStyle w:val="Hyperlink"/>
          <w:sz w:val="20"/>
          <w:szCs w:val="20"/>
        </w:rPr>
        <w:t>West Yorkshire Combined Authority Local Transport Plan</w:t>
      </w:r>
    </w:p>
  </w:footnote>
  <w:footnote w:id="8">
    <w:p w14:paraId="68DD79A9" w14:textId="7BD4E87C" w:rsidR="001E361A" w:rsidRPr="001E361A" w:rsidRDefault="001E361A" w:rsidP="006B4A3E">
      <w:pPr>
        <w:pStyle w:val="FootnoteText"/>
        <w:rPr>
          <w:lang w:val="en-GB"/>
        </w:rPr>
      </w:pPr>
      <w:r>
        <w:rPr>
          <w:rStyle w:val="FootnoteReference"/>
        </w:rPr>
        <w:footnoteRef/>
      </w:r>
      <w:r>
        <w:t xml:space="preserve"> </w:t>
      </w:r>
      <w:hyperlink r:id="rId5" w:history="1">
        <w:r w:rsidRPr="00D3029D">
          <w:rPr>
            <w:rStyle w:val="Hyperlink"/>
          </w:rPr>
          <w:t>Calderdale Flood Risk &amp; Drainage SPD, 2024</w:t>
        </w:r>
      </w:hyperlink>
    </w:p>
  </w:footnote>
  <w:footnote w:id="9">
    <w:p w14:paraId="0CA9D6D3" w14:textId="281E4126" w:rsidR="00A31637" w:rsidRPr="00A31637" w:rsidRDefault="00A31637" w:rsidP="006B4A3E">
      <w:pPr>
        <w:pStyle w:val="FootnoteText"/>
        <w:rPr>
          <w:lang w:val="en-GB"/>
        </w:rPr>
      </w:pPr>
      <w:r>
        <w:rPr>
          <w:rStyle w:val="FootnoteReference"/>
        </w:rPr>
        <w:footnoteRef/>
      </w:r>
      <w:r>
        <w:t xml:space="preserve"> </w:t>
      </w:r>
      <w:hyperlink r:id="rId6" w:history="1">
        <w:r w:rsidRPr="00D3029D">
          <w:rPr>
            <w:rStyle w:val="Hyperlink"/>
          </w:rPr>
          <w:t>Leeds Local Flood Risk Management Strategy, n.d.</w:t>
        </w:r>
      </w:hyperlink>
    </w:p>
  </w:footnote>
  <w:footnote w:id="10">
    <w:p w14:paraId="4AF7DE9F" w14:textId="3A9A82F9" w:rsidR="00985339" w:rsidRPr="00985339" w:rsidRDefault="00985339">
      <w:pPr>
        <w:pStyle w:val="FootnoteText"/>
        <w:rPr>
          <w:lang w:val="en-GB"/>
        </w:rPr>
      </w:pPr>
      <w:r>
        <w:rPr>
          <w:rStyle w:val="FootnoteReference"/>
        </w:rPr>
        <w:footnoteRef/>
      </w:r>
      <w:r>
        <w:t xml:space="preserve"> </w:t>
      </w:r>
      <w:hyperlink r:id="rId7" w:history="1">
        <w:r w:rsidRPr="00D3029D">
          <w:rPr>
            <w:rStyle w:val="Hyperlink"/>
          </w:rPr>
          <w:t>Wakefield Local Flood Risk Management Strategy, 2014</w:t>
        </w:r>
      </w:hyperlink>
    </w:p>
  </w:footnote>
  <w:footnote w:id="11">
    <w:p w14:paraId="5F106553" w14:textId="3A9EF942" w:rsidR="00951B47" w:rsidRPr="00951B47" w:rsidRDefault="00951B47">
      <w:pPr>
        <w:pStyle w:val="FootnoteText"/>
        <w:rPr>
          <w:lang w:val="en-GB"/>
        </w:rPr>
      </w:pPr>
      <w:r>
        <w:rPr>
          <w:rStyle w:val="FootnoteReference"/>
        </w:rPr>
        <w:footnoteRef/>
      </w:r>
      <w:r>
        <w:t xml:space="preserve"> </w:t>
      </w:r>
      <w:hyperlink r:id="rId8" w:anchor="section-12-6-2-2-risks-to-electricity-generation-%e2%80%93-i2" w:history="1">
        <w:r>
          <w:rPr>
            <w:rStyle w:val="Hyperlink"/>
          </w:rPr>
          <w:t>Chapter 6: Infrastructure - UK Climate Risk</w:t>
        </w:r>
      </w:hyperlink>
    </w:p>
  </w:footnote>
  <w:footnote w:id="12">
    <w:p w14:paraId="16FD0A03" w14:textId="115CB3DA" w:rsidR="008071AA" w:rsidRPr="008071AA" w:rsidRDefault="008071AA">
      <w:pPr>
        <w:pStyle w:val="FootnoteText"/>
        <w:rPr>
          <w:lang w:val="en-GB"/>
        </w:rPr>
      </w:pPr>
      <w:r>
        <w:rPr>
          <w:rStyle w:val="FootnoteReference"/>
        </w:rPr>
        <w:footnoteRef/>
      </w:r>
      <w:r>
        <w:t xml:space="preserve"> </w:t>
      </w:r>
      <w:hyperlink r:id="rId9" w:history="1">
        <w:r w:rsidR="00FD584C" w:rsidRPr="00FD584C">
          <w:rPr>
            <w:rStyle w:val="Hyperlink"/>
          </w:rPr>
          <w:t xml:space="preserve">The West Yorkshire Transport Evidence Base </w:t>
        </w:r>
        <w:r w:rsidR="00FD584C">
          <w:rPr>
            <w:rStyle w:val="Hyperlink"/>
          </w:rPr>
          <w:t>-</w:t>
        </w:r>
        <w:r w:rsidRPr="00FD584C">
          <w:rPr>
            <w:rStyle w:val="Hyperlink"/>
          </w:rPr>
          <w:t>Freight</w:t>
        </w:r>
      </w:hyperlink>
    </w:p>
  </w:footnote>
  <w:footnote w:id="13">
    <w:p w14:paraId="781DF840" w14:textId="5215D7F6" w:rsidR="00967AB6" w:rsidRPr="00967AB6" w:rsidRDefault="00967AB6">
      <w:pPr>
        <w:pStyle w:val="FootnoteText"/>
        <w:rPr>
          <w:lang w:val="en-GB"/>
        </w:rPr>
      </w:pPr>
      <w:r>
        <w:rPr>
          <w:rStyle w:val="FootnoteReference"/>
        </w:rPr>
        <w:footnoteRef/>
      </w:r>
      <w:r>
        <w:t xml:space="preserve"> </w:t>
      </w:r>
      <w:hyperlink r:id="rId10" w:history="1">
        <w:r w:rsidRPr="00967AB6">
          <w:rPr>
            <w:rStyle w:val="Hyperlink"/>
          </w:rPr>
          <w:t>Yorkshire and the Humber | Maritime Transport</w:t>
        </w:r>
      </w:hyperlink>
    </w:p>
  </w:footnote>
  <w:footnote w:id="14">
    <w:p w14:paraId="7E6EF0B3" w14:textId="2EC857CF" w:rsidR="00D711BC" w:rsidRPr="00D711BC" w:rsidRDefault="00D711BC">
      <w:pPr>
        <w:pStyle w:val="FootnoteText"/>
        <w:rPr>
          <w:lang w:val="en-GB"/>
        </w:rPr>
      </w:pPr>
      <w:r>
        <w:rPr>
          <w:rStyle w:val="FootnoteReference"/>
        </w:rPr>
        <w:footnoteRef/>
      </w:r>
      <w:r>
        <w:t xml:space="preserve"> </w:t>
      </w:r>
      <w:hyperlink r:id="rId11" w:history="1">
        <w:r>
          <w:rPr>
            <w:rStyle w:val="Hyperlink"/>
          </w:rPr>
          <w:t>UK Civil Aviation Authority ARP4 Climate Adaptat</w:t>
        </w:r>
        <w:r w:rsidR="00D17E90">
          <w:rPr>
            <w:rStyle w:val="Hyperlink"/>
          </w:rPr>
          <w:t>io</w:t>
        </w:r>
        <w:r>
          <w:rPr>
            <w:rStyle w:val="Hyperlink"/>
          </w:rPr>
          <w:t xml:space="preserve">n Report 2024 </w:t>
        </w:r>
      </w:hyperlink>
    </w:p>
  </w:footnote>
  <w:footnote w:id="15">
    <w:p w14:paraId="5ACF05E0" w14:textId="4724727D" w:rsidR="00FE4B7B" w:rsidRPr="00FE4B7B" w:rsidRDefault="00FE4B7B">
      <w:pPr>
        <w:pStyle w:val="FootnoteText"/>
        <w:rPr>
          <w:lang w:val="en-GB"/>
        </w:rPr>
      </w:pPr>
      <w:r>
        <w:rPr>
          <w:rStyle w:val="FootnoteReference"/>
        </w:rPr>
        <w:footnoteRef/>
      </w:r>
      <w:r>
        <w:t xml:space="preserve"> </w:t>
      </w:r>
      <w:hyperlink r:id="rId12" w:history="1">
        <w:r>
          <w:rPr>
            <w:rStyle w:val="Hyperlink"/>
          </w:rPr>
          <w:t>ICAA E</w:t>
        </w:r>
        <w:r w:rsidRPr="00FE4B7B">
          <w:rPr>
            <w:rStyle w:val="Hyperlink"/>
          </w:rPr>
          <w:t>nvironmental Protection - Climate Adaptation Synthesis Report</w:t>
        </w:r>
      </w:hyperlink>
    </w:p>
  </w:footnote>
  <w:footnote w:id="16">
    <w:p w14:paraId="62852713" w14:textId="54677AB5" w:rsidR="006E633D" w:rsidRPr="006E633D" w:rsidRDefault="006E633D">
      <w:pPr>
        <w:pStyle w:val="FootnoteText"/>
        <w:rPr>
          <w:lang w:val="en-GB"/>
        </w:rPr>
      </w:pPr>
      <w:r>
        <w:rPr>
          <w:rStyle w:val="FootnoteReference"/>
        </w:rPr>
        <w:footnoteRef/>
      </w:r>
      <w:r>
        <w:t xml:space="preserve"> </w:t>
      </w:r>
      <w:hyperlink r:id="rId13" w:history="1">
        <w:r w:rsidRPr="006E633D">
          <w:rPr>
            <w:rStyle w:val="Hyperlink"/>
          </w:rPr>
          <w:t>Repairs underway for storm-damaged Woodside Mills Lock landing and towpath in Elland | Canal &amp; River Trust</w:t>
        </w:r>
      </w:hyperlink>
    </w:p>
  </w:footnote>
  <w:footnote w:id="17">
    <w:p w14:paraId="30593858" w14:textId="5B83C514" w:rsidR="00485A77" w:rsidRPr="00485A77" w:rsidRDefault="00485A77">
      <w:pPr>
        <w:pStyle w:val="FootnoteText"/>
        <w:rPr>
          <w:lang w:val="en-GB"/>
        </w:rPr>
      </w:pPr>
      <w:r>
        <w:rPr>
          <w:rStyle w:val="FootnoteReference"/>
        </w:rPr>
        <w:footnoteRef/>
      </w:r>
      <w:r>
        <w:t xml:space="preserve"> </w:t>
      </w:r>
      <w:hyperlink r:id="rId14" w:history="1">
        <w:r w:rsidRPr="00485A77">
          <w:rPr>
            <w:rStyle w:val="Hyperlink"/>
          </w:rPr>
          <w:t>Notices and stoppages | Canal &amp; River Trust</w:t>
        </w:r>
      </w:hyperlink>
    </w:p>
  </w:footnote>
  <w:footnote w:id="18">
    <w:p w14:paraId="5B40B748" w14:textId="6C5A6298" w:rsidR="0093570D" w:rsidRPr="0093570D" w:rsidRDefault="0093570D">
      <w:pPr>
        <w:pStyle w:val="FootnoteText"/>
        <w:rPr>
          <w:lang w:val="en-GB"/>
        </w:rPr>
      </w:pPr>
      <w:r>
        <w:rPr>
          <w:rStyle w:val="FootnoteReference"/>
        </w:rPr>
        <w:footnoteRef/>
      </w:r>
      <w:r>
        <w:t xml:space="preserve"> </w:t>
      </w:r>
      <w:hyperlink r:id="rId15" w:history="1">
        <w:r w:rsidR="009240E8" w:rsidRPr="009240E8">
          <w:rPr>
            <w:rStyle w:val="Hyperlink"/>
          </w:rPr>
          <w:t>Climate Risk Assessment Guidance for the Transport Sector- Non-technical Summary</w:t>
        </w:r>
      </w:hyperlink>
    </w:p>
  </w:footnote>
  <w:footnote w:id="19">
    <w:p w14:paraId="12E5E6D0" w14:textId="3E7D9AA4" w:rsidR="00AE446A" w:rsidRPr="00AE446A" w:rsidRDefault="00AE446A">
      <w:pPr>
        <w:pStyle w:val="FootnoteText"/>
        <w:rPr>
          <w:lang w:val="en-GB"/>
        </w:rPr>
      </w:pPr>
      <w:r>
        <w:rPr>
          <w:rStyle w:val="FootnoteReference"/>
        </w:rPr>
        <w:footnoteRef/>
      </w:r>
      <w:r>
        <w:t xml:space="preserve"> </w:t>
      </w:r>
      <w:hyperlink r:id="rId16" w:history="1">
        <w:r w:rsidRPr="00AE446A">
          <w:rPr>
            <w:rStyle w:val="Hyperlink"/>
          </w:rPr>
          <w:t>Climate adaption reporting fourth round: aviation - GOV.UK</w:t>
        </w:r>
      </w:hyperlink>
    </w:p>
  </w:footnote>
  <w:footnote w:id="20">
    <w:p w14:paraId="6BDBB502" w14:textId="0C447AB5" w:rsidR="00177352" w:rsidRPr="00177352" w:rsidRDefault="00177352">
      <w:pPr>
        <w:pStyle w:val="FootnoteText"/>
        <w:rPr>
          <w:lang w:val="en-GB"/>
        </w:rPr>
      </w:pPr>
      <w:r>
        <w:rPr>
          <w:rStyle w:val="FootnoteReference"/>
        </w:rPr>
        <w:footnoteRef/>
      </w:r>
      <w:r>
        <w:t xml:space="preserve"> </w:t>
      </w:r>
      <w:hyperlink r:id="rId17" w:history="1">
        <w:r w:rsidRPr="00D3029D">
          <w:rPr>
            <w:rStyle w:val="Hyperlink"/>
          </w:rPr>
          <w:t>Kirklees local flood risk management full strategy, n.d.</w:t>
        </w:r>
      </w:hyperlink>
    </w:p>
  </w:footnote>
  <w:footnote w:id="21">
    <w:p w14:paraId="323A29C3" w14:textId="7C2EBB1C" w:rsidR="00177352" w:rsidRPr="00177352" w:rsidRDefault="00177352">
      <w:pPr>
        <w:pStyle w:val="FootnoteText"/>
        <w:rPr>
          <w:lang w:val="en-GB"/>
        </w:rPr>
      </w:pPr>
      <w:r>
        <w:rPr>
          <w:rStyle w:val="FootnoteReference"/>
        </w:rPr>
        <w:footnoteRef/>
      </w:r>
      <w:r>
        <w:t xml:space="preserve"> </w:t>
      </w:r>
      <w:hyperlink r:id="rId18" w:history="1">
        <w:r w:rsidRPr="00177352">
          <w:rPr>
            <w:rStyle w:val="Hyperlink"/>
          </w:rPr>
          <w:t>West</w:t>
        </w:r>
        <w:r>
          <w:rPr>
            <w:rStyle w:val="Hyperlink"/>
          </w:rPr>
          <w:t xml:space="preserve"> </w:t>
        </w:r>
        <w:r w:rsidRPr="00177352">
          <w:rPr>
            <w:rStyle w:val="Hyperlink"/>
          </w:rPr>
          <w:t>Yorkshire</w:t>
        </w:r>
        <w:r w:rsidR="00BA7A91">
          <w:rPr>
            <w:rStyle w:val="Hyperlink"/>
          </w:rPr>
          <w:t xml:space="preserve"> </w:t>
        </w:r>
        <w:r w:rsidRPr="00177352">
          <w:rPr>
            <w:rStyle w:val="Hyperlink"/>
          </w:rPr>
          <w:t>Resilience</w:t>
        </w:r>
        <w:r>
          <w:rPr>
            <w:rStyle w:val="Hyperlink"/>
          </w:rPr>
          <w:t xml:space="preserve"> </w:t>
        </w:r>
        <w:r w:rsidRPr="00177352">
          <w:rPr>
            <w:rStyle w:val="Hyperlink"/>
          </w:rPr>
          <w:t>Forum</w:t>
        </w:r>
        <w:r>
          <w:rPr>
            <w:rStyle w:val="Hyperlink"/>
          </w:rPr>
          <w:t xml:space="preserve"> </w:t>
        </w:r>
        <w:r w:rsidRPr="00177352">
          <w:rPr>
            <w:rStyle w:val="Hyperlink"/>
          </w:rPr>
          <w:t>Annual</w:t>
        </w:r>
        <w:r>
          <w:rPr>
            <w:rStyle w:val="Hyperlink"/>
          </w:rPr>
          <w:t xml:space="preserve"> </w:t>
        </w:r>
        <w:r w:rsidRPr="00177352">
          <w:rPr>
            <w:rStyle w:val="Hyperlink"/>
          </w:rPr>
          <w:t>Report</w:t>
        </w:r>
        <w:r>
          <w:rPr>
            <w:rStyle w:val="Hyperlink"/>
          </w:rPr>
          <w:t xml:space="preserve"> </w:t>
        </w:r>
        <w:r w:rsidRPr="00177352">
          <w:rPr>
            <w:rStyle w:val="Hyperlink"/>
          </w:rPr>
          <w:t>2023-24</w:t>
        </w:r>
      </w:hyperlink>
    </w:p>
  </w:footnote>
  <w:footnote w:id="22">
    <w:p w14:paraId="49DF346D" w14:textId="612C5110" w:rsidR="00F970BB" w:rsidRPr="00F970BB" w:rsidRDefault="00F970BB">
      <w:pPr>
        <w:pStyle w:val="FootnoteText"/>
        <w:rPr>
          <w:lang w:val="en-GB"/>
        </w:rPr>
      </w:pPr>
      <w:r>
        <w:rPr>
          <w:rStyle w:val="FootnoteReference"/>
        </w:rPr>
        <w:footnoteRef/>
      </w:r>
      <w:r w:rsidR="000866E4">
        <w:t xml:space="preserve"> </w:t>
      </w:r>
      <w:hyperlink r:id="rId19" w:history="1">
        <w:r w:rsidR="000866E4">
          <w:rPr>
            <w:rStyle w:val="Hyperlink"/>
          </w:rPr>
          <w:t>Leeds Bradford Airport S</w:t>
        </w:r>
        <w:r w:rsidRPr="00F970BB">
          <w:rPr>
            <w:rStyle w:val="Hyperlink"/>
          </w:rPr>
          <w:t>ustainabilit</w:t>
        </w:r>
        <w:r w:rsidR="00BA7A91">
          <w:rPr>
            <w:rStyle w:val="Hyperlink"/>
          </w:rPr>
          <w:t>y</w:t>
        </w:r>
        <w:r w:rsidR="000866E4">
          <w:rPr>
            <w:rStyle w:val="Hyperlink"/>
          </w:rPr>
          <w:t xml:space="preserve"> Strat</w:t>
        </w:r>
        <w:r w:rsidR="006F5A2F">
          <w:rPr>
            <w:rStyle w:val="Hyperlink"/>
          </w:rPr>
          <w:t>e</w:t>
        </w:r>
        <w:r w:rsidR="000866E4">
          <w:rPr>
            <w:rStyle w:val="Hyperlink"/>
          </w:rPr>
          <w:t>g</w:t>
        </w:r>
        <w:r w:rsidRPr="00F970BB">
          <w:rPr>
            <w:rStyle w:val="Hyperlink"/>
          </w:rPr>
          <w:t>y</w:t>
        </w:r>
      </w:hyperlink>
    </w:p>
  </w:footnote>
  <w:footnote w:id="23">
    <w:p w14:paraId="349CA97F" w14:textId="4103A7A6" w:rsidR="00DC6945" w:rsidRPr="00DC6945" w:rsidRDefault="00DC6945">
      <w:pPr>
        <w:pStyle w:val="FootnoteText"/>
        <w:rPr>
          <w:lang w:val="en-GB"/>
        </w:rPr>
      </w:pPr>
      <w:r>
        <w:rPr>
          <w:rStyle w:val="FootnoteReference"/>
        </w:rPr>
        <w:footnoteRef/>
      </w:r>
      <w:r>
        <w:t xml:space="preserve"> </w:t>
      </w:r>
      <w:hyperlink r:id="rId20" w:history="1">
        <w:r w:rsidRPr="00DC6945">
          <w:rPr>
            <w:rStyle w:val="Hyperlink"/>
          </w:rPr>
          <w:t>Leeds Bradford Airport Joins Aire Resilience Company</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08970" w14:textId="77777777" w:rsidR="00FC5F2B" w:rsidRDefault="00FC5F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84604" w14:textId="1A2E00BA" w:rsidR="004C7B60" w:rsidRPr="00904F74" w:rsidRDefault="007363A5" w:rsidP="00904F74">
    <w:pPr>
      <w:pStyle w:val="Subtitle"/>
      <w:numPr>
        <w:ilvl w:val="0"/>
        <w:numId w:val="0"/>
      </w:numPr>
      <w:spacing w:before="240" w:after="0" w:line="259" w:lineRule="auto"/>
      <w:rPr>
        <w:b/>
        <w:color w:val="595959" w:themeColor="text1" w:themeTint="A6"/>
        <w:kern w:val="2"/>
        <w:lang w:val="en-GB" w:eastAsia="en-US"/>
        <w14:ligatures w14:val="standardContextual"/>
      </w:rPr>
    </w:pPr>
    <w:sdt>
      <w:sdtPr>
        <w:rPr>
          <w:b/>
          <w:color w:val="595959" w:themeColor="text1" w:themeTint="A6"/>
          <w:kern w:val="2"/>
          <w:lang w:val="en-GB" w:eastAsia="en-US"/>
          <w14:ligatures w14:val="standardContextual"/>
        </w:rPr>
        <w:id w:val="1851142014"/>
        <w:docPartObj>
          <w:docPartGallery w:val="Watermarks"/>
          <w:docPartUnique/>
        </w:docPartObj>
      </w:sdtPr>
      <w:sdtContent>
        <w:r w:rsidRPr="007363A5">
          <w:rPr>
            <w:b/>
            <w:noProof/>
            <w:color w:val="595959" w:themeColor="text1" w:themeTint="A6"/>
            <w:kern w:val="2"/>
            <w:lang w:val="en-GB" w:eastAsia="en-US"/>
            <w14:ligatures w14:val="standardContextual"/>
          </w:rPr>
          <w:pict w14:anchorId="2D4369A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476642" o:spid="_x0000_s1025" type="#_x0000_t136" style="position:absolute;margin-left:0;margin-top:0;width:527.85pt;height:131.95pt;rotation:315;z-index:-251656192;mso-position-horizontal:center;mso-position-horizontal-relative:margin;mso-position-vertical:center;mso-position-vertical-relative:margin" o:allowincell="f" fillcolor="silver" stroked="f">
              <v:fill opacity=".5"/>
              <v:textpath style="font-family:&quot;Calibri&quot;;font-size:1pt" string="CONFIDENTIAL"/>
              <w10:wrap anchorx="margin" anchory="margin"/>
            </v:shape>
          </w:pict>
        </w:r>
      </w:sdtContent>
    </w:sdt>
    <w:r w:rsidR="004C7B60" w:rsidRPr="00904F74">
      <w:rPr>
        <w:b/>
        <w:color w:val="595959" w:themeColor="text1" w:themeTint="A6"/>
        <w:kern w:val="2"/>
        <w:lang w:val="en-GB" w:eastAsia="en-US"/>
        <w14:ligatures w14:val="standardContextual"/>
      </w:rPr>
      <w:t>West Yorkshire Climate Risk Assessment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6F477" w14:textId="77777777" w:rsidR="00FC5F2B" w:rsidRDefault="00FC5F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33521"/>
    <w:multiLevelType w:val="hybridMultilevel"/>
    <w:tmpl w:val="FD5094E2"/>
    <w:lvl w:ilvl="0" w:tplc="081A3024">
      <w:start w:val="1"/>
      <w:numFmt w:val="bullet"/>
      <w:lvlText w:val=""/>
      <w:lvlJc w:val="left"/>
      <w:pPr>
        <w:ind w:left="720" w:hanging="360"/>
      </w:pPr>
      <w:rPr>
        <w:rFonts w:ascii="Symbol" w:eastAsia="Symbol" w:hAnsi="Symbol" w:cs="Symbol"/>
      </w:rPr>
    </w:lvl>
    <w:lvl w:ilvl="1" w:tplc="34061A32">
      <w:start w:val="1"/>
      <w:numFmt w:val="bullet"/>
      <w:lvlText w:val="o"/>
      <w:lvlJc w:val="left"/>
      <w:pPr>
        <w:ind w:left="1440" w:hanging="360"/>
      </w:pPr>
      <w:rPr>
        <w:rFonts w:ascii="Courier New" w:eastAsia="Courier New" w:hAnsi="Courier New" w:cs="Courier New"/>
      </w:rPr>
    </w:lvl>
    <w:lvl w:ilvl="2" w:tplc="3B78BE2E">
      <w:start w:val="1"/>
      <w:numFmt w:val="bullet"/>
      <w:lvlText w:val=""/>
      <w:lvlJc w:val="left"/>
      <w:pPr>
        <w:ind w:left="2160" w:hanging="360"/>
      </w:pPr>
      <w:rPr>
        <w:rFonts w:ascii="Wingdings" w:eastAsia="Wingdings" w:hAnsi="Wingdings" w:cs="Wingdings"/>
      </w:rPr>
    </w:lvl>
    <w:lvl w:ilvl="3" w:tplc="751064BC">
      <w:start w:val="1"/>
      <w:numFmt w:val="bullet"/>
      <w:lvlText w:val=""/>
      <w:lvlJc w:val="left"/>
      <w:pPr>
        <w:ind w:left="2880" w:hanging="360"/>
      </w:pPr>
      <w:rPr>
        <w:rFonts w:ascii="Symbol" w:eastAsia="Symbol" w:hAnsi="Symbol" w:cs="Symbol"/>
      </w:rPr>
    </w:lvl>
    <w:lvl w:ilvl="4" w:tplc="0BD66C80">
      <w:start w:val="1"/>
      <w:numFmt w:val="bullet"/>
      <w:lvlText w:val="o"/>
      <w:lvlJc w:val="left"/>
      <w:pPr>
        <w:ind w:left="3600" w:hanging="360"/>
      </w:pPr>
      <w:rPr>
        <w:rFonts w:ascii="Courier New" w:eastAsia="Courier New" w:hAnsi="Courier New" w:cs="Courier New"/>
      </w:rPr>
    </w:lvl>
    <w:lvl w:ilvl="5" w:tplc="02DE6CBE">
      <w:start w:val="1"/>
      <w:numFmt w:val="bullet"/>
      <w:lvlText w:val=""/>
      <w:lvlJc w:val="left"/>
      <w:pPr>
        <w:ind w:left="4320" w:hanging="360"/>
      </w:pPr>
      <w:rPr>
        <w:rFonts w:ascii="Wingdings" w:eastAsia="Wingdings" w:hAnsi="Wingdings" w:cs="Wingdings"/>
      </w:rPr>
    </w:lvl>
    <w:lvl w:ilvl="6" w:tplc="141AA156">
      <w:start w:val="1"/>
      <w:numFmt w:val="bullet"/>
      <w:lvlText w:val=""/>
      <w:lvlJc w:val="left"/>
      <w:pPr>
        <w:ind w:left="5040" w:hanging="360"/>
      </w:pPr>
      <w:rPr>
        <w:rFonts w:ascii="Symbol" w:eastAsia="Symbol" w:hAnsi="Symbol" w:cs="Symbol"/>
      </w:rPr>
    </w:lvl>
    <w:lvl w:ilvl="7" w:tplc="D62E5146">
      <w:start w:val="1"/>
      <w:numFmt w:val="bullet"/>
      <w:lvlText w:val="o"/>
      <w:lvlJc w:val="left"/>
      <w:pPr>
        <w:ind w:left="5760" w:hanging="360"/>
      </w:pPr>
      <w:rPr>
        <w:rFonts w:ascii="Courier New" w:eastAsia="Courier New" w:hAnsi="Courier New" w:cs="Courier New"/>
      </w:rPr>
    </w:lvl>
    <w:lvl w:ilvl="8" w:tplc="40C6499E">
      <w:start w:val="1"/>
      <w:numFmt w:val="bullet"/>
      <w:lvlText w:val=""/>
      <w:lvlJc w:val="left"/>
      <w:pPr>
        <w:ind w:left="6480" w:hanging="360"/>
      </w:pPr>
      <w:rPr>
        <w:rFonts w:ascii="Wingdings" w:eastAsia="Wingdings" w:hAnsi="Wingdings" w:cs="Wingdings"/>
      </w:rPr>
    </w:lvl>
  </w:abstractNum>
  <w:abstractNum w:abstractNumId="1" w15:restartNumberingAfterBreak="0">
    <w:nsid w:val="1AC92375"/>
    <w:multiLevelType w:val="hybridMultilevel"/>
    <w:tmpl w:val="D1C4C42E"/>
    <w:lvl w:ilvl="0" w:tplc="AE64D18A">
      <w:start w:val="1"/>
      <w:numFmt w:val="bullet"/>
      <w:lvlText w:val=""/>
      <w:lvlJc w:val="left"/>
      <w:pPr>
        <w:ind w:left="720" w:hanging="360"/>
      </w:pPr>
      <w:rPr>
        <w:rFonts w:ascii="Symbol" w:eastAsia="Symbol" w:hAnsi="Symbol" w:cs="Symbol"/>
      </w:rPr>
    </w:lvl>
    <w:lvl w:ilvl="1" w:tplc="47E21148">
      <w:start w:val="1"/>
      <w:numFmt w:val="bullet"/>
      <w:lvlText w:val="o"/>
      <w:lvlJc w:val="left"/>
      <w:pPr>
        <w:ind w:left="1440" w:hanging="360"/>
      </w:pPr>
      <w:rPr>
        <w:rFonts w:ascii="Courier New" w:eastAsia="Courier New" w:hAnsi="Courier New" w:cs="Courier New"/>
      </w:rPr>
    </w:lvl>
    <w:lvl w:ilvl="2" w:tplc="60B0B564">
      <w:start w:val="1"/>
      <w:numFmt w:val="bullet"/>
      <w:lvlText w:val=""/>
      <w:lvlJc w:val="left"/>
      <w:pPr>
        <w:ind w:left="2160" w:hanging="360"/>
      </w:pPr>
      <w:rPr>
        <w:rFonts w:ascii="Wingdings" w:eastAsia="Wingdings" w:hAnsi="Wingdings" w:cs="Wingdings"/>
      </w:rPr>
    </w:lvl>
    <w:lvl w:ilvl="3" w:tplc="6D105D9E">
      <w:start w:val="1"/>
      <w:numFmt w:val="bullet"/>
      <w:lvlText w:val=""/>
      <w:lvlJc w:val="left"/>
      <w:pPr>
        <w:ind w:left="2880" w:hanging="360"/>
      </w:pPr>
      <w:rPr>
        <w:rFonts w:ascii="Symbol" w:eastAsia="Symbol" w:hAnsi="Symbol" w:cs="Symbol"/>
      </w:rPr>
    </w:lvl>
    <w:lvl w:ilvl="4" w:tplc="FD2079AE">
      <w:start w:val="1"/>
      <w:numFmt w:val="bullet"/>
      <w:lvlText w:val="o"/>
      <w:lvlJc w:val="left"/>
      <w:pPr>
        <w:ind w:left="3600" w:hanging="360"/>
      </w:pPr>
      <w:rPr>
        <w:rFonts w:ascii="Courier New" w:eastAsia="Courier New" w:hAnsi="Courier New" w:cs="Courier New"/>
      </w:rPr>
    </w:lvl>
    <w:lvl w:ilvl="5" w:tplc="9E3ABBE2">
      <w:start w:val="1"/>
      <w:numFmt w:val="bullet"/>
      <w:lvlText w:val=""/>
      <w:lvlJc w:val="left"/>
      <w:pPr>
        <w:ind w:left="4320" w:hanging="360"/>
      </w:pPr>
      <w:rPr>
        <w:rFonts w:ascii="Wingdings" w:eastAsia="Wingdings" w:hAnsi="Wingdings" w:cs="Wingdings"/>
      </w:rPr>
    </w:lvl>
    <w:lvl w:ilvl="6" w:tplc="42B69B02">
      <w:start w:val="1"/>
      <w:numFmt w:val="bullet"/>
      <w:lvlText w:val=""/>
      <w:lvlJc w:val="left"/>
      <w:pPr>
        <w:ind w:left="5040" w:hanging="360"/>
      </w:pPr>
      <w:rPr>
        <w:rFonts w:ascii="Symbol" w:eastAsia="Symbol" w:hAnsi="Symbol" w:cs="Symbol"/>
      </w:rPr>
    </w:lvl>
    <w:lvl w:ilvl="7" w:tplc="052CE1E4">
      <w:start w:val="1"/>
      <w:numFmt w:val="bullet"/>
      <w:lvlText w:val="o"/>
      <w:lvlJc w:val="left"/>
      <w:pPr>
        <w:ind w:left="5760" w:hanging="360"/>
      </w:pPr>
      <w:rPr>
        <w:rFonts w:ascii="Courier New" w:eastAsia="Courier New" w:hAnsi="Courier New" w:cs="Courier New"/>
      </w:rPr>
    </w:lvl>
    <w:lvl w:ilvl="8" w:tplc="73C23B64">
      <w:start w:val="1"/>
      <w:numFmt w:val="bullet"/>
      <w:lvlText w:val=""/>
      <w:lvlJc w:val="left"/>
      <w:pPr>
        <w:ind w:left="6480" w:hanging="360"/>
      </w:pPr>
      <w:rPr>
        <w:rFonts w:ascii="Wingdings" w:eastAsia="Wingdings" w:hAnsi="Wingdings" w:cs="Wingdings"/>
      </w:rPr>
    </w:lvl>
  </w:abstractNum>
  <w:abstractNum w:abstractNumId="2" w15:restartNumberingAfterBreak="0">
    <w:nsid w:val="20314085"/>
    <w:multiLevelType w:val="hybridMultilevel"/>
    <w:tmpl w:val="97C039E6"/>
    <w:lvl w:ilvl="0" w:tplc="8B3C2860">
      <w:start w:val="1"/>
      <w:numFmt w:val="bullet"/>
      <w:lvlText w:val=""/>
      <w:lvlJc w:val="left"/>
      <w:pPr>
        <w:ind w:left="720" w:hanging="360"/>
      </w:pPr>
      <w:rPr>
        <w:rFonts w:ascii="Symbol" w:eastAsia="Symbol" w:hAnsi="Symbol" w:cs="Symbol"/>
      </w:rPr>
    </w:lvl>
    <w:lvl w:ilvl="1" w:tplc="5C76AF90">
      <w:start w:val="1"/>
      <w:numFmt w:val="bullet"/>
      <w:lvlText w:val="o"/>
      <w:lvlJc w:val="left"/>
      <w:pPr>
        <w:ind w:left="1440" w:hanging="360"/>
      </w:pPr>
      <w:rPr>
        <w:rFonts w:ascii="Courier New" w:eastAsia="Courier New" w:hAnsi="Courier New" w:cs="Courier New"/>
      </w:rPr>
    </w:lvl>
    <w:lvl w:ilvl="2" w:tplc="B4383C7E">
      <w:start w:val="1"/>
      <w:numFmt w:val="bullet"/>
      <w:lvlText w:val=""/>
      <w:lvlJc w:val="left"/>
      <w:pPr>
        <w:ind w:left="2160" w:hanging="360"/>
      </w:pPr>
      <w:rPr>
        <w:rFonts w:ascii="Wingdings" w:eastAsia="Wingdings" w:hAnsi="Wingdings" w:cs="Wingdings"/>
      </w:rPr>
    </w:lvl>
    <w:lvl w:ilvl="3" w:tplc="21DEA6D0">
      <w:start w:val="1"/>
      <w:numFmt w:val="bullet"/>
      <w:lvlText w:val=""/>
      <w:lvlJc w:val="left"/>
      <w:pPr>
        <w:ind w:left="2880" w:hanging="360"/>
      </w:pPr>
      <w:rPr>
        <w:rFonts w:ascii="Symbol" w:eastAsia="Symbol" w:hAnsi="Symbol" w:cs="Symbol"/>
      </w:rPr>
    </w:lvl>
    <w:lvl w:ilvl="4" w:tplc="E202F006">
      <w:start w:val="1"/>
      <w:numFmt w:val="bullet"/>
      <w:lvlText w:val="o"/>
      <w:lvlJc w:val="left"/>
      <w:pPr>
        <w:ind w:left="3600" w:hanging="360"/>
      </w:pPr>
      <w:rPr>
        <w:rFonts w:ascii="Courier New" w:eastAsia="Courier New" w:hAnsi="Courier New" w:cs="Courier New"/>
      </w:rPr>
    </w:lvl>
    <w:lvl w:ilvl="5" w:tplc="9D0445B4">
      <w:start w:val="1"/>
      <w:numFmt w:val="bullet"/>
      <w:lvlText w:val=""/>
      <w:lvlJc w:val="left"/>
      <w:pPr>
        <w:ind w:left="4320" w:hanging="360"/>
      </w:pPr>
      <w:rPr>
        <w:rFonts w:ascii="Wingdings" w:eastAsia="Wingdings" w:hAnsi="Wingdings" w:cs="Wingdings"/>
      </w:rPr>
    </w:lvl>
    <w:lvl w:ilvl="6" w:tplc="8B12A55C">
      <w:start w:val="1"/>
      <w:numFmt w:val="bullet"/>
      <w:lvlText w:val=""/>
      <w:lvlJc w:val="left"/>
      <w:pPr>
        <w:ind w:left="5040" w:hanging="360"/>
      </w:pPr>
      <w:rPr>
        <w:rFonts w:ascii="Symbol" w:eastAsia="Symbol" w:hAnsi="Symbol" w:cs="Symbol"/>
      </w:rPr>
    </w:lvl>
    <w:lvl w:ilvl="7" w:tplc="5046F13C">
      <w:start w:val="1"/>
      <w:numFmt w:val="bullet"/>
      <w:lvlText w:val="o"/>
      <w:lvlJc w:val="left"/>
      <w:pPr>
        <w:ind w:left="5760" w:hanging="360"/>
      </w:pPr>
      <w:rPr>
        <w:rFonts w:ascii="Courier New" w:eastAsia="Courier New" w:hAnsi="Courier New" w:cs="Courier New"/>
      </w:rPr>
    </w:lvl>
    <w:lvl w:ilvl="8" w:tplc="5382FE14">
      <w:start w:val="1"/>
      <w:numFmt w:val="bullet"/>
      <w:lvlText w:val=""/>
      <w:lvlJc w:val="left"/>
      <w:pPr>
        <w:ind w:left="6480" w:hanging="360"/>
      </w:pPr>
      <w:rPr>
        <w:rFonts w:ascii="Wingdings" w:eastAsia="Wingdings" w:hAnsi="Wingdings" w:cs="Wingdings"/>
      </w:rPr>
    </w:lvl>
  </w:abstractNum>
  <w:abstractNum w:abstractNumId="3" w15:restartNumberingAfterBreak="0">
    <w:nsid w:val="21ECE9A9"/>
    <w:multiLevelType w:val="hybridMultilevel"/>
    <w:tmpl w:val="3E12AF4A"/>
    <w:lvl w:ilvl="0" w:tplc="5A247D66">
      <w:start w:val="1"/>
      <w:numFmt w:val="bullet"/>
      <w:lvlText w:val=""/>
      <w:lvlJc w:val="left"/>
      <w:pPr>
        <w:ind w:left="720" w:hanging="360"/>
      </w:pPr>
      <w:rPr>
        <w:rFonts w:ascii="Symbol" w:eastAsia="Symbol" w:hAnsi="Symbol" w:cs="Symbol"/>
      </w:rPr>
    </w:lvl>
    <w:lvl w:ilvl="1" w:tplc="50E6E6F6">
      <w:start w:val="1"/>
      <w:numFmt w:val="bullet"/>
      <w:lvlText w:val="o"/>
      <w:lvlJc w:val="left"/>
      <w:pPr>
        <w:ind w:left="1440" w:hanging="360"/>
      </w:pPr>
      <w:rPr>
        <w:rFonts w:ascii="Courier New" w:eastAsia="Courier New" w:hAnsi="Courier New" w:cs="Courier New"/>
      </w:rPr>
    </w:lvl>
    <w:lvl w:ilvl="2" w:tplc="15A6E09A">
      <w:start w:val="1"/>
      <w:numFmt w:val="bullet"/>
      <w:lvlText w:val=""/>
      <w:lvlJc w:val="left"/>
      <w:pPr>
        <w:ind w:left="2160" w:hanging="360"/>
      </w:pPr>
      <w:rPr>
        <w:rFonts w:ascii="Wingdings" w:eastAsia="Wingdings" w:hAnsi="Wingdings" w:cs="Wingdings"/>
      </w:rPr>
    </w:lvl>
    <w:lvl w:ilvl="3" w:tplc="1638BF44">
      <w:start w:val="1"/>
      <w:numFmt w:val="bullet"/>
      <w:lvlText w:val=""/>
      <w:lvlJc w:val="left"/>
      <w:pPr>
        <w:ind w:left="2880" w:hanging="360"/>
      </w:pPr>
      <w:rPr>
        <w:rFonts w:ascii="Symbol" w:eastAsia="Symbol" w:hAnsi="Symbol" w:cs="Symbol"/>
      </w:rPr>
    </w:lvl>
    <w:lvl w:ilvl="4" w:tplc="4ED25C9A">
      <w:start w:val="1"/>
      <w:numFmt w:val="bullet"/>
      <w:lvlText w:val="o"/>
      <w:lvlJc w:val="left"/>
      <w:pPr>
        <w:ind w:left="3600" w:hanging="360"/>
      </w:pPr>
      <w:rPr>
        <w:rFonts w:ascii="Courier New" w:eastAsia="Courier New" w:hAnsi="Courier New" w:cs="Courier New"/>
      </w:rPr>
    </w:lvl>
    <w:lvl w:ilvl="5" w:tplc="D91EF262">
      <w:start w:val="1"/>
      <w:numFmt w:val="bullet"/>
      <w:lvlText w:val=""/>
      <w:lvlJc w:val="left"/>
      <w:pPr>
        <w:ind w:left="4320" w:hanging="360"/>
      </w:pPr>
      <w:rPr>
        <w:rFonts w:ascii="Wingdings" w:eastAsia="Wingdings" w:hAnsi="Wingdings" w:cs="Wingdings"/>
      </w:rPr>
    </w:lvl>
    <w:lvl w:ilvl="6" w:tplc="4E06D206">
      <w:start w:val="1"/>
      <w:numFmt w:val="bullet"/>
      <w:lvlText w:val=""/>
      <w:lvlJc w:val="left"/>
      <w:pPr>
        <w:ind w:left="5040" w:hanging="360"/>
      </w:pPr>
      <w:rPr>
        <w:rFonts w:ascii="Symbol" w:eastAsia="Symbol" w:hAnsi="Symbol" w:cs="Symbol"/>
      </w:rPr>
    </w:lvl>
    <w:lvl w:ilvl="7" w:tplc="A6CC901A">
      <w:start w:val="1"/>
      <w:numFmt w:val="bullet"/>
      <w:lvlText w:val="o"/>
      <w:lvlJc w:val="left"/>
      <w:pPr>
        <w:ind w:left="5760" w:hanging="360"/>
      </w:pPr>
      <w:rPr>
        <w:rFonts w:ascii="Courier New" w:eastAsia="Courier New" w:hAnsi="Courier New" w:cs="Courier New"/>
      </w:rPr>
    </w:lvl>
    <w:lvl w:ilvl="8" w:tplc="A3466798">
      <w:start w:val="1"/>
      <w:numFmt w:val="bullet"/>
      <w:lvlText w:val=""/>
      <w:lvlJc w:val="left"/>
      <w:pPr>
        <w:ind w:left="6480" w:hanging="360"/>
      </w:pPr>
      <w:rPr>
        <w:rFonts w:ascii="Wingdings" w:eastAsia="Wingdings" w:hAnsi="Wingdings" w:cs="Wingdings"/>
      </w:rPr>
    </w:lvl>
  </w:abstractNum>
  <w:abstractNum w:abstractNumId="4" w15:restartNumberingAfterBreak="0">
    <w:nsid w:val="3631BEFF"/>
    <w:multiLevelType w:val="hybridMultilevel"/>
    <w:tmpl w:val="3B42A7F4"/>
    <w:lvl w:ilvl="0" w:tplc="CE30B280">
      <w:start w:val="1"/>
      <w:numFmt w:val="bullet"/>
      <w:lvlText w:val=""/>
      <w:lvlJc w:val="left"/>
      <w:pPr>
        <w:ind w:left="720" w:hanging="360"/>
      </w:pPr>
      <w:rPr>
        <w:rFonts w:ascii="Symbol" w:eastAsia="Symbol" w:hAnsi="Symbol" w:cs="Symbol"/>
      </w:rPr>
    </w:lvl>
    <w:lvl w:ilvl="1" w:tplc="83E8DC08">
      <w:start w:val="1"/>
      <w:numFmt w:val="bullet"/>
      <w:lvlText w:val="o"/>
      <w:lvlJc w:val="left"/>
      <w:pPr>
        <w:ind w:left="1440" w:hanging="360"/>
      </w:pPr>
      <w:rPr>
        <w:rFonts w:ascii="Courier New" w:eastAsia="Courier New" w:hAnsi="Courier New" w:cs="Courier New"/>
      </w:rPr>
    </w:lvl>
    <w:lvl w:ilvl="2" w:tplc="AA74C7F8">
      <w:start w:val="1"/>
      <w:numFmt w:val="bullet"/>
      <w:lvlText w:val=""/>
      <w:lvlJc w:val="left"/>
      <w:pPr>
        <w:ind w:left="2160" w:hanging="360"/>
      </w:pPr>
      <w:rPr>
        <w:rFonts w:ascii="Wingdings" w:eastAsia="Wingdings" w:hAnsi="Wingdings" w:cs="Wingdings"/>
      </w:rPr>
    </w:lvl>
    <w:lvl w:ilvl="3" w:tplc="2C62FCBC">
      <w:start w:val="1"/>
      <w:numFmt w:val="bullet"/>
      <w:lvlText w:val=""/>
      <w:lvlJc w:val="left"/>
      <w:pPr>
        <w:ind w:left="2880" w:hanging="360"/>
      </w:pPr>
      <w:rPr>
        <w:rFonts w:ascii="Symbol" w:eastAsia="Symbol" w:hAnsi="Symbol" w:cs="Symbol"/>
      </w:rPr>
    </w:lvl>
    <w:lvl w:ilvl="4" w:tplc="7A1CE2A2">
      <w:start w:val="1"/>
      <w:numFmt w:val="bullet"/>
      <w:lvlText w:val="o"/>
      <w:lvlJc w:val="left"/>
      <w:pPr>
        <w:ind w:left="3600" w:hanging="360"/>
      </w:pPr>
      <w:rPr>
        <w:rFonts w:ascii="Courier New" w:eastAsia="Courier New" w:hAnsi="Courier New" w:cs="Courier New"/>
      </w:rPr>
    </w:lvl>
    <w:lvl w:ilvl="5" w:tplc="FEFEEE9C">
      <w:start w:val="1"/>
      <w:numFmt w:val="bullet"/>
      <w:lvlText w:val=""/>
      <w:lvlJc w:val="left"/>
      <w:pPr>
        <w:ind w:left="4320" w:hanging="360"/>
      </w:pPr>
      <w:rPr>
        <w:rFonts w:ascii="Wingdings" w:eastAsia="Wingdings" w:hAnsi="Wingdings" w:cs="Wingdings"/>
      </w:rPr>
    </w:lvl>
    <w:lvl w:ilvl="6" w:tplc="7BECB1E4">
      <w:start w:val="1"/>
      <w:numFmt w:val="bullet"/>
      <w:lvlText w:val=""/>
      <w:lvlJc w:val="left"/>
      <w:pPr>
        <w:ind w:left="5040" w:hanging="360"/>
      </w:pPr>
      <w:rPr>
        <w:rFonts w:ascii="Symbol" w:eastAsia="Symbol" w:hAnsi="Symbol" w:cs="Symbol"/>
      </w:rPr>
    </w:lvl>
    <w:lvl w:ilvl="7" w:tplc="F1665E5E">
      <w:start w:val="1"/>
      <w:numFmt w:val="bullet"/>
      <w:lvlText w:val="o"/>
      <w:lvlJc w:val="left"/>
      <w:pPr>
        <w:ind w:left="5760" w:hanging="360"/>
      </w:pPr>
      <w:rPr>
        <w:rFonts w:ascii="Courier New" w:eastAsia="Courier New" w:hAnsi="Courier New" w:cs="Courier New"/>
      </w:rPr>
    </w:lvl>
    <w:lvl w:ilvl="8" w:tplc="A7669EAA">
      <w:start w:val="1"/>
      <w:numFmt w:val="bullet"/>
      <w:lvlText w:val=""/>
      <w:lvlJc w:val="left"/>
      <w:pPr>
        <w:ind w:left="6480" w:hanging="360"/>
      </w:pPr>
      <w:rPr>
        <w:rFonts w:ascii="Wingdings" w:eastAsia="Wingdings" w:hAnsi="Wingdings" w:cs="Wingdings"/>
      </w:rPr>
    </w:lvl>
  </w:abstractNum>
  <w:abstractNum w:abstractNumId="5" w15:restartNumberingAfterBreak="0">
    <w:nsid w:val="4235E980"/>
    <w:multiLevelType w:val="hybridMultilevel"/>
    <w:tmpl w:val="B742E2B8"/>
    <w:lvl w:ilvl="0" w:tplc="66A2E7B2">
      <w:start w:val="1"/>
      <w:numFmt w:val="bullet"/>
      <w:lvlText w:val="●"/>
      <w:lvlJc w:val="left"/>
      <w:pPr>
        <w:ind w:left="720" w:hanging="360"/>
      </w:pPr>
    </w:lvl>
    <w:lvl w:ilvl="1" w:tplc="2F94CCF2">
      <w:start w:val="1"/>
      <w:numFmt w:val="bullet"/>
      <w:lvlText w:val="○"/>
      <w:lvlJc w:val="left"/>
      <w:pPr>
        <w:ind w:left="1440" w:hanging="360"/>
      </w:pPr>
    </w:lvl>
    <w:lvl w:ilvl="2" w:tplc="D680A0DA">
      <w:start w:val="1"/>
      <w:numFmt w:val="bullet"/>
      <w:lvlText w:val="■"/>
      <w:lvlJc w:val="left"/>
      <w:pPr>
        <w:ind w:left="2160" w:hanging="360"/>
      </w:pPr>
    </w:lvl>
    <w:lvl w:ilvl="3" w:tplc="76DA1652">
      <w:start w:val="1"/>
      <w:numFmt w:val="bullet"/>
      <w:lvlText w:val="●"/>
      <w:lvlJc w:val="left"/>
      <w:pPr>
        <w:ind w:left="2880" w:hanging="360"/>
      </w:pPr>
    </w:lvl>
    <w:lvl w:ilvl="4" w:tplc="9904D8D4">
      <w:start w:val="1"/>
      <w:numFmt w:val="bullet"/>
      <w:lvlText w:val="○"/>
      <w:lvlJc w:val="left"/>
      <w:pPr>
        <w:ind w:left="3600" w:hanging="360"/>
      </w:pPr>
    </w:lvl>
    <w:lvl w:ilvl="5" w:tplc="00621190">
      <w:start w:val="1"/>
      <w:numFmt w:val="bullet"/>
      <w:lvlText w:val="■"/>
      <w:lvlJc w:val="left"/>
      <w:pPr>
        <w:ind w:left="4320" w:hanging="360"/>
      </w:pPr>
    </w:lvl>
    <w:lvl w:ilvl="6" w:tplc="18561534">
      <w:start w:val="1"/>
      <w:numFmt w:val="bullet"/>
      <w:lvlText w:val="●"/>
      <w:lvlJc w:val="left"/>
      <w:pPr>
        <w:ind w:left="5040" w:hanging="360"/>
      </w:pPr>
    </w:lvl>
    <w:lvl w:ilvl="7" w:tplc="AF46B67A">
      <w:start w:val="1"/>
      <w:numFmt w:val="bullet"/>
      <w:lvlText w:val="●"/>
      <w:lvlJc w:val="left"/>
      <w:pPr>
        <w:ind w:left="5760" w:hanging="360"/>
      </w:pPr>
    </w:lvl>
    <w:lvl w:ilvl="8" w:tplc="1798AA74">
      <w:start w:val="1"/>
      <w:numFmt w:val="bullet"/>
      <w:lvlText w:val="●"/>
      <w:lvlJc w:val="left"/>
      <w:pPr>
        <w:ind w:left="6480" w:hanging="360"/>
      </w:pPr>
    </w:lvl>
  </w:abstractNum>
  <w:num w:numId="1" w16cid:durableId="439497448">
    <w:abstractNumId w:val="5"/>
    <w:lvlOverride w:ilvl="0">
      <w:startOverride w:val="1"/>
    </w:lvlOverride>
  </w:num>
  <w:num w:numId="2" w16cid:durableId="1048605115">
    <w:abstractNumId w:val="4"/>
  </w:num>
  <w:num w:numId="3" w16cid:durableId="237322515">
    <w:abstractNumId w:val="3"/>
  </w:num>
  <w:num w:numId="4" w16cid:durableId="1422725978">
    <w:abstractNumId w:val="1"/>
  </w:num>
  <w:num w:numId="5" w16cid:durableId="832721559">
    <w:abstractNumId w:val="2"/>
  </w:num>
  <w:num w:numId="6" w16cid:durableId="12374031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proofState w:spelling="clean" w:grammar="clean"/>
  <w:trackRevision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5BCEEA9"/>
    <w:rsid w:val="00000D79"/>
    <w:rsid w:val="00014FF7"/>
    <w:rsid w:val="00016BD7"/>
    <w:rsid w:val="0004242F"/>
    <w:rsid w:val="00053081"/>
    <w:rsid w:val="000575C4"/>
    <w:rsid w:val="000665FE"/>
    <w:rsid w:val="00066B17"/>
    <w:rsid w:val="00067C30"/>
    <w:rsid w:val="000833AE"/>
    <w:rsid w:val="000866E4"/>
    <w:rsid w:val="00090152"/>
    <w:rsid w:val="000968AA"/>
    <w:rsid w:val="000A0D68"/>
    <w:rsid w:val="000C4440"/>
    <w:rsid w:val="000C684A"/>
    <w:rsid w:val="000E34D7"/>
    <w:rsid w:val="000E4CD9"/>
    <w:rsid w:val="000F12AD"/>
    <w:rsid w:val="000F2188"/>
    <w:rsid w:val="00103DDB"/>
    <w:rsid w:val="001308BB"/>
    <w:rsid w:val="001502DC"/>
    <w:rsid w:val="00151F68"/>
    <w:rsid w:val="0015777C"/>
    <w:rsid w:val="00177352"/>
    <w:rsid w:val="00182F7D"/>
    <w:rsid w:val="001A119B"/>
    <w:rsid w:val="001A35FC"/>
    <w:rsid w:val="001B45E2"/>
    <w:rsid w:val="001B4FA0"/>
    <w:rsid w:val="001C414F"/>
    <w:rsid w:val="001D3933"/>
    <w:rsid w:val="001E361A"/>
    <w:rsid w:val="0020571C"/>
    <w:rsid w:val="002111F1"/>
    <w:rsid w:val="00225704"/>
    <w:rsid w:val="00230105"/>
    <w:rsid w:val="0023164A"/>
    <w:rsid w:val="00235453"/>
    <w:rsid w:val="00243A02"/>
    <w:rsid w:val="00244196"/>
    <w:rsid w:val="002448F1"/>
    <w:rsid w:val="002453E4"/>
    <w:rsid w:val="00246716"/>
    <w:rsid w:val="002575B1"/>
    <w:rsid w:val="00263184"/>
    <w:rsid w:val="00266DF9"/>
    <w:rsid w:val="0028642F"/>
    <w:rsid w:val="00287DEB"/>
    <w:rsid w:val="00290433"/>
    <w:rsid w:val="00290E2C"/>
    <w:rsid w:val="002A5E3F"/>
    <w:rsid w:val="002B0F15"/>
    <w:rsid w:val="002B6480"/>
    <w:rsid w:val="002D1AB8"/>
    <w:rsid w:val="002D3902"/>
    <w:rsid w:val="002D713B"/>
    <w:rsid w:val="002E53C6"/>
    <w:rsid w:val="00301D3E"/>
    <w:rsid w:val="00307F9A"/>
    <w:rsid w:val="003313B4"/>
    <w:rsid w:val="00335D72"/>
    <w:rsid w:val="0033717A"/>
    <w:rsid w:val="00340722"/>
    <w:rsid w:val="00350368"/>
    <w:rsid w:val="003628C9"/>
    <w:rsid w:val="00371BBB"/>
    <w:rsid w:val="00372374"/>
    <w:rsid w:val="0039330A"/>
    <w:rsid w:val="003B36F4"/>
    <w:rsid w:val="003D182C"/>
    <w:rsid w:val="003D339F"/>
    <w:rsid w:val="003D7F3C"/>
    <w:rsid w:val="003E408A"/>
    <w:rsid w:val="003F0572"/>
    <w:rsid w:val="004016F6"/>
    <w:rsid w:val="004077FF"/>
    <w:rsid w:val="00414E2B"/>
    <w:rsid w:val="00434292"/>
    <w:rsid w:val="0044621A"/>
    <w:rsid w:val="00456DEA"/>
    <w:rsid w:val="0047744E"/>
    <w:rsid w:val="00485079"/>
    <w:rsid w:val="00485A77"/>
    <w:rsid w:val="0049634A"/>
    <w:rsid w:val="004A4886"/>
    <w:rsid w:val="004C30D4"/>
    <w:rsid w:val="004C4554"/>
    <w:rsid w:val="004C7B60"/>
    <w:rsid w:val="004F289E"/>
    <w:rsid w:val="004F6FE0"/>
    <w:rsid w:val="005014C9"/>
    <w:rsid w:val="00511E2D"/>
    <w:rsid w:val="00514233"/>
    <w:rsid w:val="00520498"/>
    <w:rsid w:val="0052360F"/>
    <w:rsid w:val="005304E5"/>
    <w:rsid w:val="00544ADD"/>
    <w:rsid w:val="00561D0F"/>
    <w:rsid w:val="005735B5"/>
    <w:rsid w:val="0058239F"/>
    <w:rsid w:val="00595E53"/>
    <w:rsid w:val="005A1AD0"/>
    <w:rsid w:val="005B2702"/>
    <w:rsid w:val="005B3A54"/>
    <w:rsid w:val="005B621F"/>
    <w:rsid w:val="005C6CEC"/>
    <w:rsid w:val="005C7034"/>
    <w:rsid w:val="005E02DB"/>
    <w:rsid w:val="005F111D"/>
    <w:rsid w:val="006001E9"/>
    <w:rsid w:val="006528B0"/>
    <w:rsid w:val="00662547"/>
    <w:rsid w:val="0067742E"/>
    <w:rsid w:val="00680143"/>
    <w:rsid w:val="00685D27"/>
    <w:rsid w:val="006A29EE"/>
    <w:rsid w:val="006A3C28"/>
    <w:rsid w:val="006A5D0E"/>
    <w:rsid w:val="006B4A3E"/>
    <w:rsid w:val="006C6C21"/>
    <w:rsid w:val="006E00CE"/>
    <w:rsid w:val="006E633D"/>
    <w:rsid w:val="006F5A2F"/>
    <w:rsid w:val="007103A1"/>
    <w:rsid w:val="00716FD0"/>
    <w:rsid w:val="00717A6C"/>
    <w:rsid w:val="00721087"/>
    <w:rsid w:val="00730467"/>
    <w:rsid w:val="007318C3"/>
    <w:rsid w:val="00731A25"/>
    <w:rsid w:val="007363A5"/>
    <w:rsid w:val="007450FD"/>
    <w:rsid w:val="00767BEC"/>
    <w:rsid w:val="00770BE9"/>
    <w:rsid w:val="00777B1B"/>
    <w:rsid w:val="00790A01"/>
    <w:rsid w:val="007A2A8D"/>
    <w:rsid w:val="007C4AEB"/>
    <w:rsid w:val="007D41AD"/>
    <w:rsid w:val="007D630B"/>
    <w:rsid w:val="007E0A82"/>
    <w:rsid w:val="007E39F7"/>
    <w:rsid w:val="007E60A6"/>
    <w:rsid w:val="007E7B87"/>
    <w:rsid w:val="00801AF8"/>
    <w:rsid w:val="00804EEA"/>
    <w:rsid w:val="008071AA"/>
    <w:rsid w:val="00813309"/>
    <w:rsid w:val="00827180"/>
    <w:rsid w:val="00852501"/>
    <w:rsid w:val="008542CC"/>
    <w:rsid w:val="0088508D"/>
    <w:rsid w:val="00894D47"/>
    <w:rsid w:val="00896BE7"/>
    <w:rsid w:val="008A0A6D"/>
    <w:rsid w:val="008B2F41"/>
    <w:rsid w:val="008B74D2"/>
    <w:rsid w:val="008E6956"/>
    <w:rsid w:val="008E79A6"/>
    <w:rsid w:val="008F7906"/>
    <w:rsid w:val="00904F74"/>
    <w:rsid w:val="00913840"/>
    <w:rsid w:val="009240E8"/>
    <w:rsid w:val="00930CB1"/>
    <w:rsid w:val="00930DD0"/>
    <w:rsid w:val="0093570D"/>
    <w:rsid w:val="0093688D"/>
    <w:rsid w:val="00936E05"/>
    <w:rsid w:val="009459B1"/>
    <w:rsid w:val="00951B47"/>
    <w:rsid w:val="009562DE"/>
    <w:rsid w:val="0096520A"/>
    <w:rsid w:val="00966B62"/>
    <w:rsid w:val="00967AB6"/>
    <w:rsid w:val="00985339"/>
    <w:rsid w:val="00985543"/>
    <w:rsid w:val="009F0648"/>
    <w:rsid w:val="00A10D35"/>
    <w:rsid w:val="00A10D3B"/>
    <w:rsid w:val="00A12717"/>
    <w:rsid w:val="00A12C35"/>
    <w:rsid w:val="00A24E0D"/>
    <w:rsid w:val="00A26496"/>
    <w:rsid w:val="00A26BA8"/>
    <w:rsid w:val="00A31637"/>
    <w:rsid w:val="00A50053"/>
    <w:rsid w:val="00A51694"/>
    <w:rsid w:val="00A52039"/>
    <w:rsid w:val="00A52335"/>
    <w:rsid w:val="00A556A1"/>
    <w:rsid w:val="00A5761D"/>
    <w:rsid w:val="00A659A3"/>
    <w:rsid w:val="00A769AD"/>
    <w:rsid w:val="00A76A16"/>
    <w:rsid w:val="00A8131A"/>
    <w:rsid w:val="00A9594F"/>
    <w:rsid w:val="00A95DBD"/>
    <w:rsid w:val="00AA07DA"/>
    <w:rsid w:val="00AA3922"/>
    <w:rsid w:val="00AB0032"/>
    <w:rsid w:val="00AB1DB4"/>
    <w:rsid w:val="00AB7F3C"/>
    <w:rsid w:val="00AC112C"/>
    <w:rsid w:val="00AD071E"/>
    <w:rsid w:val="00AE32AC"/>
    <w:rsid w:val="00AE446A"/>
    <w:rsid w:val="00AE45E1"/>
    <w:rsid w:val="00AE5B54"/>
    <w:rsid w:val="00AF63D5"/>
    <w:rsid w:val="00AF6868"/>
    <w:rsid w:val="00AF7BB4"/>
    <w:rsid w:val="00B31543"/>
    <w:rsid w:val="00B34CBA"/>
    <w:rsid w:val="00B4792D"/>
    <w:rsid w:val="00B47C7E"/>
    <w:rsid w:val="00B569A5"/>
    <w:rsid w:val="00B62671"/>
    <w:rsid w:val="00B76B66"/>
    <w:rsid w:val="00B936CA"/>
    <w:rsid w:val="00BA5C2B"/>
    <w:rsid w:val="00BA7A91"/>
    <w:rsid w:val="00BB3852"/>
    <w:rsid w:val="00BB6B9A"/>
    <w:rsid w:val="00BD5E88"/>
    <w:rsid w:val="00C04D05"/>
    <w:rsid w:val="00C14EBC"/>
    <w:rsid w:val="00C158AC"/>
    <w:rsid w:val="00C25209"/>
    <w:rsid w:val="00C36B87"/>
    <w:rsid w:val="00C812BB"/>
    <w:rsid w:val="00C81782"/>
    <w:rsid w:val="00C905C6"/>
    <w:rsid w:val="00CA3196"/>
    <w:rsid w:val="00CB3081"/>
    <w:rsid w:val="00CB42FD"/>
    <w:rsid w:val="00CC45D0"/>
    <w:rsid w:val="00CD3D95"/>
    <w:rsid w:val="00CD4E5B"/>
    <w:rsid w:val="00CD6179"/>
    <w:rsid w:val="00CF6FA0"/>
    <w:rsid w:val="00D02901"/>
    <w:rsid w:val="00D0438E"/>
    <w:rsid w:val="00D17E90"/>
    <w:rsid w:val="00D21297"/>
    <w:rsid w:val="00D2540C"/>
    <w:rsid w:val="00D57A8B"/>
    <w:rsid w:val="00D65CCD"/>
    <w:rsid w:val="00D711BC"/>
    <w:rsid w:val="00D846C7"/>
    <w:rsid w:val="00DB4D04"/>
    <w:rsid w:val="00DB568D"/>
    <w:rsid w:val="00DB7CAD"/>
    <w:rsid w:val="00DC40F0"/>
    <w:rsid w:val="00DC6945"/>
    <w:rsid w:val="00DC70D0"/>
    <w:rsid w:val="00DD2720"/>
    <w:rsid w:val="00DD5AD4"/>
    <w:rsid w:val="00DE765E"/>
    <w:rsid w:val="00DF01F5"/>
    <w:rsid w:val="00DF2DEB"/>
    <w:rsid w:val="00E229FA"/>
    <w:rsid w:val="00E329A0"/>
    <w:rsid w:val="00E42D52"/>
    <w:rsid w:val="00E579A7"/>
    <w:rsid w:val="00E60DA8"/>
    <w:rsid w:val="00E824CA"/>
    <w:rsid w:val="00E929C3"/>
    <w:rsid w:val="00E96C48"/>
    <w:rsid w:val="00EB02D1"/>
    <w:rsid w:val="00ED13BF"/>
    <w:rsid w:val="00ED2D4A"/>
    <w:rsid w:val="00EE6B31"/>
    <w:rsid w:val="00EF6B14"/>
    <w:rsid w:val="00EF73DE"/>
    <w:rsid w:val="00F01920"/>
    <w:rsid w:val="00F05A8D"/>
    <w:rsid w:val="00F21328"/>
    <w:rsid w:val="00F32F2B"/>
    <w:rsid w:val="00F36DC1"/>
    <w:rsid w:val="00F36E02"/>
    <w:rsid w:val="00F43E7F"/>
    <w:rsid w:val="00F51958"/>
    <w:rsid w:val="00F533CD"/>
    <w:rsid w:val="00F84E1C"/>
    <w:rsid w:val="00F9083E"/>
    <w:rsid w:val="00F950C5"/>
    <w:rsid w:val="00F970BB"/>
    <w:rsid w:val="00FC3070"/>
    <w:rsid w:val="00FC5D29"/>
    <w:rsid w:val="00FC5F2B"/>
    <w:rsid w:val="00FD584C"/>
    <w:rsid w:val="00FE4B7B"/>
    <w:rsid w:val="00FE78DA"/>
    <w:rsid w:val="14FC257C"/>
    <w:rsid w:val="25BCEE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C216FE"/>
  <w15:docId w15:val="{875B2D76-B175-40AB-99A5-A1443AC15C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44ADD"/>
    <w:pPr>
      <w:keepNext/>
      <w:keepLines/>
      <w:spacing w:before="360" w:after="80" w:line="259" w:lineRule="auto"/>
      <w:ind w:left="432" w:hanging="432"/>
      <w:outlineLvl w:val="0"/>
    </w:pPr>
    <w:rPr>
      <w:rFonts w:asciiTheme="majorHAnsi" w:eastAsiaTheme="majorEastAsia" w:hAnsiTheme="majorHAnsi" w:cstheme="majorBidi"/>
      <w:color w:val="3E706C" w:themeColor="accent1" w:themeShade="BF"/>
      <w:kern w:val="2"/>
      <w:sz w:val="40"/>
      <w:szCs w:val="40"/>
      <w:lang w:val="en-GB" w:eastAsia="en-US"/>
      <w14:ligatures w14:val="standardContextual"/>
    </w:rPr>
  </w:style>
  <w:style w:type="paragraph" w:styleId="Heading2">
    <w:name w:val="heading 2"/>
    <w:basedOn w:val="Normal"/>
    <w:next w:val="Normal"/>
    <w:link w:val="Heading2Char"/>
    <w:uiPriority w:val="9"/>
    <w:unhideWhenUsed/>
    <w:qFormat/>
    <w:rsid w:val="002A5E3F"/>
    <w:pPr>
      <w:keepNext/>
      <w:keepLines/>
      <w:spacing w:before="160" w:after="80" w:line="259" w:lineRule="auto"/>
      <w:ind w:left="576" w:hanging="576"/>
      <w:outlineLvl w:val="1"/>
    </w:pPr>
    <w:rPr>
      <w:rFonts w:asciiTheme="majorHAnsi" w:eastAsiaTheme="majorEastAsia" w:hAnsiTheme="majorHAnsi" w:cstheme="majorBidi"/>
      <w:color w:val="3E706C" w:themeColor="accent1" w:themeShade="BF"/>
      <w:kern w:val="2"/>
      <w:sz w:val="32"/>
      <w:szCs w:val="32"/>
      <w:lang w:val="en-GB" w:eastAsia="en-US"/>
      <w14:ligatures w14:val="standardContextual"/>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4ADD"/>
    <w:rPr>
      <w:rFonts w:asciiTheme="majorHAnsi" w:eastAsiaTheme="majorEastAsia" w:hAnsiTheme="majorHAnsi" w:cstheme="majorBidi"/>
      <w:color w:val="3E706C" w:themeColor="accent1" w:themeShade="BF"/>
      <w:kern w:val="2"/>
      <w:sz w:val="40"/>
      <w:szCs w:val="40"/>
      <w:lang w:val="en-GB" w:eastAsia="en-US"/>
      <w14:ligatures w14:val="standardContextual"/>
    </w:rPr>
  </w:style>
  <w:style w:type="character" w:customStyle="1" w:styleId="Heading2Char">
    <w:name w:val="Heading 2 Char"/>
    <w:basedOn w:val="DefaultParagraphFont"/>
    <w:link w:val="Heading2"/>
    <w:uiPriority w:val="9"/>
    <w:rsid w:val="002A5E3F"/>
    <w:rPr>
      <w:rFonts w:asciiTheme="majorHAnsi" w:eastAsiaTheme="majorEastAsia" w:hAnsiTheme="majorHAnsi" w:cstheme="majorBidi"/>
      <w:color w:val="3E706C" w:themeColor="accent1" w:themeShade="BF"/>
      <w:kern w:val="2"/>
      <w:sz w:val="32"/>
      <w:szCs w:val="32"/>
      <w:lang w:val="en-GB" w:eastAsia="en-US"/>
      <w14:ligatures w14:val="standardContextual"/>
    </w:rPr>
  </w:style>
  <w:style w:type="character" w:customStyle="1" w:styleId="Heading3Char">
    <w:name w:val="Heading 3 Char"/>
    <w:basedOn w:val="DefaultParagraphFont"/>
    <w:link w:val="Heading3"/>
    <w:uiPriority w:val="9"/>
    <w:rPr>
      <w:rFonts w:eastAsiaTheme="majorEastAsia" w:cstheme="majorBidi"/>
      <w:color w:val="0F4761"/>
      <w:sz w:val="28"/>
      <w:szCs w:val="28"/>
    </w:rPr>
  </w:style>
  <w:style w:type="character" w:customStyle="1" w:styleId="Heading4Char">
    <w:name w:val="Heading 4 Char"/>
    <w:basedOn w:val="DefaultParagraphFont"/>
    <w:link w:val="Heading4"/>
    <w:uiPriority w:val="9"/>
    <w:rPr>
      <w:rFonts w:eastAsiaTheme="majorEastAsia" w:cstheme="majorBidi"/>
      <w:i/>
      <w:iCs/>
      <w:color w:val="0F4761"/>
    </w:rPr>
  </w:style>
  <w:style w:type="character" w:customStyle="1" w:styleId="Heading5Char">
    <w:name w:val="Heading 5 Char"/>
    <w:basedOn w:val="DefaultParagraphFont"/>
    <w:link w:val="Heading5"/>
    <w:uiPriority w:val="9"/>
    <w:rPr>
      <w:rFonts w:eastAsiaTheme="majorEastAsia" w:cstheme="majorBidi"/>
      <w:color w:val="0F4761"/>
    </w:rPr>
  </w:style>
  <w:style w:type="character" w:customStyle="1" w:styleId="Heading6Char">
    <w:name w:val="Heading 6 Char"/>
    <w:basedOn w:val="DefaultParagraphFont"/>
    <w:link w:val="Heading6"/>
    <w:uiPriority w:val="9"/>
    <w:rPr>
      <w:rFonts w:eastAsiaTheme="majorEastAsia" w:cstheme="majorBidi"/>
      <w:i/>
      <w:iCs/>
      <w:color w:val="595959"/>
    </w:rPr>
  </w:style>
  <w:style w:type="character" w:customStyle="1" w:styleId="Heading7Char">
    <w:name w:val="Heading 7 Char"/>
    <w:basedOn w:val="DefaultParagraphFont"/>
    <w:link w:val="Heading7"/>
    <w:uiPriority w:val="9"/>
    <w:rPr>
      <w:rFonts w:eastAsiaTheme="majorEastAsia" w:cstheme="majorBidi"/>
      <w:color w:val="595959"/>
    </w:rPr>
  </w:style>
  <w:style w:type="character" w:customStyle="1" w:styleId="Heading8Char">
    <w:name w:val="Heading 8 Char"/>
    <w:basedOn w:val="DefaultParagraphFont"/>
    <w:link w:val="Heading8"/>
    <w:uiPriority w:val="9"/>
    <w:rPr>
      <w:rFonts w:eastAsiaTheme="majorEastAsia" w:cstheme="majorBidi"/>
      <w:i/>
      <w:iCs/>
      <w:color w:val="272727"/>
    </w:rPr>
  </w:style>
  <w:style w:type="character" w:customStyle="1" w:styleId="Heading9Char">
    <w:name w:val="Heading 9 Char"/>
    <w:basedOn w:val="DefaultParagraphFont"/>
    <w:link w:val="Heading9"/>
    <w:uiPriority w:val="9"/>
    <w:rPr>
      <w:rFonts w:eastAsiaTheme="majorEastAsia" w:cstheme="majorBidi"/>
      <w:color w:val="272727"/>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spacing w:val="15"/>
      <w:sz w:val="28"/>
      <w:szCs w:val="28"/>
    </w:rPr>
  </w:style>
  <w:style w:type="character" w:styleId="IntenseEmphasis">
    <w:name w:val="Intense Emphasis"/>
    <w:basedOn w:val="DefaultParagraphFont"/>
    <w:uiPriority w:val="21"/>
    <w:qFormat/>
    <w:rPr>
      <w:i/>
      <w:iCs/>
      <w:color w:val="0F4761"/>
    </w:rPr>
  </w:style>
  <w:style w:type="character" w:customStyle="1" w:styleId="QuoteChar">
    <w:name w:val="Quote Char"/>
    <w:basedOn w:val="DefaultParagraphFont"/>
    <w:link w:val="Quote"/>
    <w:uiPriority w:val="29"/>
    <w:rPr>
      <w:i/>
      <w:iCs/>
      <w:color w:val="404040"/>
    </w:rPr>
  </w:style>
  <w:style w:type="paragraph" w:styleId="Quote">
    <w:name w:val="Quote"/>
    <w:basedOn w:val="Normal"/>
    <w:next w:val="Normal"/>
    <w:link w:val="QuoteChar"/>
    <w:uiPriority w:val="29"/>
    <w:qFormat/>
    <w:pPr>
      <w:spacing w:before="160"/>
      <w:jc w:val="center"/>
    </w:pPr>
    <w:rPr>
      <w:i/>
      <w:iCs/>
      <w:color w:val="404040"/>
    </w:rPr>
  </w:style>
  <w:style w:type="character" w:customStyle="1" w:styleId="IntenseQuoteChar">
    <w:name w:val="Intense Quote Char"/>
    <w:basedOn w:val="DefaultParagraphFont"/>
    <w:link w:val="IntenseQuote"/>
    <w:uiPriority w:val="30"/>
    <w:rPr>
      <w:i/>
      <w:iCs/>
      <w:color w:val="0F4761"/>
    </w:rPr>
  </w:style>
  <w:style w:type="paragraph" w:styleId="IntenseQuote">
    <w:name w:val="Intense Quote"/>
    <w:basedOn w:val="Normal"/>
    <w:next w:val="Normal"/>
    <w:link w:val="IntenseQuoteChar"/>
    <w:uiPriority w:val="30"/>
    <w:qFormat/>
    <w:pPr>
      <w:pBdr>
        <w:top w:val="single" w:sz="4" w:space="10" w:color="0F4761"/>
        <w:bottom w:val="single" w:sz="4" w:space="10" w:color="0F4761"/>
      </w:pBdr>
      <w:spacing w:before="360" w:after="360"/>
      <w:ind w:left="864" w:right="864"/>
      <w:jc w:val="center"/>
    </w:pPr>
    <w:rPr>
      <w:i/>
      <w:iCs/>
      <w:color w:val="0F4761"/>
    </w:rPr>
  </w:style>
  <w:style w:type="character" w:styleId="IntenseReference">
    <w:name w:val="Intense Reference"/>
    <w:basedOn w:val="DefaultParagraphFont"/>
    <w:uiPriority w:val="32"/>
    <w:qFormat/>
    <w:rPr>
      <w:b/>
      <w:bCs/>
      <w:smallCaps/>
      <w:color w:val="0F4761"/>
      <w:spacing w:val="5"/>
    </w:rPr>
  </w:style>
  <w:style w:type="table" w:styleId="TableGrid">
    <w:name w:val="Table Grid"/>
    <w:basedOn w:val="TableNormal"/>
    <w:uiPriority w:val="59"/>
    <w:rsid w:val="00FB4123"/>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GridTable4-Accent1">
    <w:name w:val="Grid Table 4 Accent 1"/>
    <w:basedOn w:val="TableNormal"/>
    <w:uiPriority w:val="49"/>
    <w:pPr>
      <w:spacing w:after="0" w:line="240" w:lineRule="auto"/>
    </w:p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39791" w:themeFill="accent1"/>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BEBEA" w:themeFill="accent1" w:themeFillTint="33"/>
      </w:tcPr>
    </w:tblStylePr>
    <w:tblStylePr w:type="band1Horz">
      <w:tblPr/>
      <w:tcPr>
        <w:shd w:val="clear" w:color="auto" w:fill="DBEBEA" w:themeFill="accent1" w:themeFillTint="33"/>
      </w:tcPr>
    </w:tblStylePr>
  </w:style>
  <w:style w:type="character" w:styleId="Hyperlink">
    <w:name w:val="Hyperlink"/>
    <w:basedOn w:val="DefaultParagraphFont"/>
    <w:uiPriority w:val="99"/>
    <w:unhideWhenUsed/>
    <w:rPr>
      <w:color w:val="0563C1"/>
      <w:u w:val="single"/>
    </w:rPr>
  </w:style>
  <w:style w:type="paragraph" w:styleId="ListParagraph">
    <w:name w:val="List Paragraph"/>
    <w:basedOn w:val="Normal"/>
    <w:uiPriority w:val="34"/>
    <w:qFormat/>
    <w:pPr>
      <w:ind w:left="720"/>
      <w:contextualSpacing/>
    </w:pPr>
  </w:style>
  <w:style w:type="paragraph" w:customStyle="1" w:styleId="Code">
    <w:name w:val="Code"/>
    <w:basedOn w:val="Normal"/>
    <w:next w:val="Normal"/>
    <w:uiPriority w:val="35"/>
    <w:qFormat/>
    <w:pPr>
      <w:spacing w:before="160"/>
      <w:contextualSpacing/>
    </w:pPr>
    <w:rPr>
      <w:i/>
      <w:iCs/>
      <w:color w:val="404040"/>
    </w:rPr>
  </w:style>
  <w:style w:type="paragraph" w:styleId="FootnoteText">
    <w:name w:val="footnote text"/>
    <w:basedOn w:val="Normal"/>
    <w:link w:val="FootnoteTextChar"/>
    <w:uiPriority w:val="99"/>
    <w:semiHidden/>
    <w:unhideWhenUsed/>
    <w:rsid w:val="00C17A4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17A41"/>
    <w:rPr>
      <w:sz w:val="20"/>
      <w:szCs w:val="20"/>
    </w:rPr>
  </w:style>
  <w:style w:type="character" w:styleId="FootnoteReference">
    <w:name w:val="footnote reference"/>
    <w:basedOn w:val="DefaultParagraphFont"/>
    <w:uiPriority w:val="99"/>
    <w:unhideWhenUsed/>
    <w:rsid w:val="00C17A41"/>
    <w:rPr>
      <w:vertAlign w:val="superscript"/>
    </w:rPr>
  </w:style>
  <w:style w:type="character" w:styleId="CommentReference">
    <w:name w:val="annotation reference"/>
    <w:basedOn w:val="DefaultParagraphFont"/>
    <w:uiPriority w:val="99"/>
    <w:semiHidden/>
    <w:unhideWhenUsed/>
    <w:rsid w:val="00301D3E"/>
    <w:rPr>
      <w:sz w:val="16"/>
      <w:szCs w:val="16"/>
    </w:rPr>
  </w:style>
  <w:style w:type="paragraph" w:styleId="CommentText">
    <w:name w:val="annotation text"/>
    <w:basedOn w:val="Normal"/>
    <w:link w:val="CommentTextChar"/>
    <w:uiPriority w:val="99"/>
    <w:unhideWhenUsed/>
    <w:rsid w:val="00301D3E"/>
    <w:pPr>
      <w:spacing w:line="240" w:lineRule="auto"/>
    </w:pPr>
    <w:rPr>
      <w:sz w:val="20"/>
      <w:szCs w:val="20"/>
    </w:rPr>
  </w:style>
  <w:style w:type="character" w:customStyle="1" w:styleId="CommentTextChar">
    <w:name w:val="Comment Text Char"/>
    <w:basedOn w:val="DefaultParagraphFont"/>
    <w:link w:val="CommentText"/>
    <w:uiPriority w:val="99"/>
    <w:rsid w:val="00301D3E"/>
    <w:rPr>
      <w:sz w:val="20"/>
      <w:szCs w:val="20"/>
    </w:rPr>
  </w:style>
  <w:style w:type="paragraph" w:styleId="CommentSubject">
    <w:name w:val="annotation subject"/>
    <w:basedOn w:val="CommentText"/>
    <w:next w:val="CommentText"/>
    <w:link w:val="CommentSubjectChar"/>
    <w:uiPriority w:val="99"/>
    <w:semiHidden/>
    <w:unhideWhenUsed/>
    <w:rsid w:val="00B31543"/>
    <w:rPr>
      <w:b/>
      <w:bCs/>
    </w:rPr>
  </w:style>
  <w:style w:type="character" w:customStyle="1" w:styleId="CommentSubjectChar">
    <w:name w:val="Comment Subject Char"/>
    <w:basedOn w:val="CommentTextChar"/>
    <w:link w:val="CommentSubject"/>
    <w:uiPriority w:val="99"/>
    <w:semiHidden/>
    <w:rsid w:val="00B31543"/>
    <w:rPr>
      <w:b/>
      <w:bCs/>
      <w:sz w:val="20"/>
      <w:szCs w:val="20"/>
    </w:rPr>
  </w:style>
  <w:style w:type="character" w:styleId="Mention">
    <w:name w:val="Mention"/>
    <w:basedOn w:val="DefaultParagraphFont"/>
    <w:uiPriority w:val="99"/>
    <w:unhideWhenUsed/>
    <w:rsid w:val="00C04D05"/>
    <w:rPr>
      <w:color w:val="2B579A"/>
      <w:shd w:val="clear" w:color="auto" w:fill="E1DFDD"/>
    </w:rPr>
  </w:style>
  <w:style w:type="character" w:styleId="UnresolvedMention">
    <w:name w:val="Unresolved Mention"/>
    <w:basedOn w:val="DefaultParagraphFont"/>
    <w:uiPriority w:val="99"/>
    <w:semiHidden/>
    <w:unhideWhenUsed/>
    <w:rsid w:val="00225704"/>
    <w:rPr>
      <w:color w:val="605E5C"/>
      <w:shd w:val="clear" w:color="auto" w:fill="E1DFDD"/>
    </w:rPr>
  </w:style>
  <w:style w:type="paragraph" w:styleId="Header">
    <w:name w:val="header"/>
    <w:basedOn w:val="Normal"/>
    <w:link w:val="HeaderChar"/>
    <w:uiPriority w:val="99"/>
    <w:unhideWhenUsed/>
    <w:rsid w:val="000F218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F2188"/>
  </w:style>
  <w:style w:type="paragraph" w:styleId="Footer">
    <w:name w:val="footer"/>
    <w:basedOn w:val="Normal"/>
    <w:link w:val="FooterChar"/>
    <w:uiPriority w:val="99"/>
    <w:unhideWhenUsed/>
    <w:rsid w:val="000F218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2188"/>
  </w:style>
  <w:style w:type="paragraph" w:styleId="Revision">
    <w:name w:val="Revision"/>
    <w:hidden/>
    <w:uiPriority w:val="99"/>
    <w:semiHidden/>
    <w:rsid w:val="001D3933"/>
    <w:pPr>
      <w:spacing w:after="0" w:line="240" w:lineRule="auto"/>
    </w:pPr>
  </w:style>
  <w:style w:type="character" w:styleId="FollowedHyperlink">
    <w:name w:val="FollowedHyperlink"/>
    <w:basedOn w:val="DefaultParagraphFont"/>
    <w:uiPriority w:val="99"/>
    <w:semiHidden/>
    <w:unhideWhenUsed/>
    <w:rsid w:val="00985543"/>
    <w:rPr>
      <w:color w:val="824C11" w:themeColor="followedHyperlink"/>
      <w:u w:val="single"/>
    </w:rPr>
  </w:style>
  <w:style w:type="table" w:styleId="GridTable5Dark-Accent1">
    <w:name w:val="Grid Table 5 Dark Accent 1"/>
    <w:basedOn w:val="TableNormal"/>
    <w:uiPriority w:val="50"/>
    <w:rsid w:val="00AE5B5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BEA"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39791"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39791"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39791"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39791" w:themeFill="accent1"/>
      </w:tcPr>
    </w:tblStylePr>
    <w:tblStylePr w:type="band1Vert">
      <w:tblPr/>
      <w:tcPr>
        <w:shd w:val="clear" w:color="auto" w:fill="B7D7D4" w:themeFill="accent1" w:themeFillTint="66"/>
      </w:tcPr>
    </w:tblStylePr>
    <w:tblStylePr w:type="band1Horz">
      <w:tblPr/>
      <w:tcPr>
        <w:shd w:val="clear" w:color="auto" w:fill="B7D7D4" w:themeFill="accent1" w:themeFillTint="66"/>
      </w:tcPr>
    </w:tblStylePr>
  </w:style>
  <w:style w:type="character" w:styleId="BookTitle">
    <w:name w:val="Book Title"/>
    <w:basedOn w:val="DefaultParagraphFont"/>
    <w:uiPriority w:val="33"/>
    <w:qFormat/>
    <w:rsid w:val="00FC5F2B"/>
    <w:rPr>
      <w:b/>
      <w:bCs/>
      <w:i/>
      <w:iCs/>
      <w:spacing w:val="5"/>
    </w:rPr>
  </w:style>
  <w:style w:type="paragraph" w:styleId="Caption">
    <w:name w:val="caption"/>
    <w:basedOn w:val="Normal"/>
    <w:next w:val="Normal"/>
    <w:uiPriority w:val="35"/>
    <w:unhideWhenUsed/>
    <w:qFormat/>
    <w:rsid w:val="00FC5F2B"/>
    <w:pPr>
      <w:spacing w:after="200" w:line="240" w:lineRule="auto"/>
    </w:pPr>
    <w:rPr>
      <w:i/>
      <w:iCs/>
      <w:color w:val="212121" w:themeColor="text2"/>
      <w:sz w:val="18"/>
      <w:szCs w:val="18"/>
    </w:rPr>
  </w:style>
  <w:style w:type="character" w:styleId="Emphasis">
    <w:name w:val="Emphasis"/>
    <w:basedOn w:val="DefaultParagraphFont"/>
    <w:uiPriority w:val="20"/>
    <w:qFormat/>
    <w:rsid w:val="00FC5F2B"/>
    <w:rPr>
      <w:i/>
      <w:iCs/>
    </w:rPr>
  </w:style>
  <w:style w:type="paragraph" w:styleId="NoSpacing">
    <w:name w:val="No Spacing"/>
    <w:uiPriority w:val="1"/>
    <w:qFormat/>
    <w:rsid w:val="00FC5F2B"/>
    <w:pPr>
      <w:spacing w:after="0" w:line="240" w:lineRule="auto"/>
    </w:pPr>
  </w:style>
  <w:style w:type="character" w:styleId="Strong">
    <w:name w:val="Strong"/>
    <w:basedOn w:val="DefaultParagraphFont"/>
    <w:uiPriority w:val="22"/>
    <w:qFormat/>
    <w:rsid w:val="00FC5F2B"/>
    <w:rPr>
      <w:b/>
      <w:bCs/>
    </w:rPr>
  </w:style>
  <w:style w:type="character" w:styleId="SubtleEmphasis">
    <w:name w:val="Subtle Emphasis"/>
    <w:basedOn w:val="DefaultParagraphFont"/>
    <w:uiPriority w:val="19"/>
    <w:qFormat/>
    <w:rsid w:val="00FC5F2B"/>
    <w:rPr>
      <w:i/>
      <w:iCs/>
      <w:color w:val="404040" w:themeColor="text1" w:themeTint="BF"/>
    </w:rPr>
  </w:style>
  <w:style w:type="character" w:styleId="SubtleReference">
    <w:name w:val="Subtle Reference"/>
    <w:basedOn w:val="DefaultParagraphFont"/>
    <w:uiPriority w:val="31"/>
    <w:qFormat/>
    <w:rsid w:val="00FC5F2B"/>
    <w:rPr>
      <w:smallCaps/>
      <w:color w:val="5A5A5A" w:themeColor="text1" w:themeTint="A5"/>
    </w:rPr>
  </w:style>
  <w:style w:type="paragraph" w:styleId="TOCHeading">
    <w:name w:val="TOC Heading"/>
    <w:basedOn w:val="Heading1"/>
    <w:next w:val="Normal"/>
    <w:uiPriority w:val="39"/>
    <w:semiHidden/>
    <w:unhideWhenUsed/>
    <w:qFormat/>
    <w:rsid w:val="00FC5F2B"/>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footnotes.xml.rels><?xml version="1.0" encoding="UTF-8" standalone="yes"?>
<Relationships xmlns="http://schemas.openxmlformats.org/package/2006/relationships"><Relationship Id="rId8" Type="http://schemas.openxmlformats.org/officeDocument/2006/relationships/hyperlink" Target="https://www.ukclimaterisk.org/publications/technical-report-ccra4-ia/chapter-6/" TargetMode="External"/><Relationship Id="rId13" Type="http://schemas.openxmlformats.org/officeDocument/2006/relationships/hyperlink" Target="https://canalrivertrust.org.uk/news-and-views/news/repairs-underway-for-storm-damaged-woodside-mills-lock-landing-and-towpath-in-elland" TargetMode="External"/><Relationship Id="rId18" Type="http://schemas.openxmlformats.org/officeDocument/2006/relationships/hyperlink" Target="https://www.westyorkshireprepared.org.uk/wp-content/uploads/2024/09/FINAL-West-Yorkshire-Resilience-Forum-Annual-Report-2023-24-V4.pdf" TargetMode="External"/><Relationship Id="rId3" Type="http://schemas.openxmlformats.org/officeDocument/2006/relationships/hyperlink" Target="https://www.ukclimaterisk.org/publications/technical-report-ccra4-ia/chapter-6/" TargetMode="External"/><Relationship Id="rId7" Type="http://schemas.openxmlformats.org/officeDocument/2006/relationships/hyperlink" Target="https://mg.wakefield.gov.uk/documents/s70068/2-APPENDIX-LFRM%20Strategy%20V1.0%20-%20Draft.pdf" TargetMode="External"/><Relationship Id="rId12" Type="http://schemas.openxmlformats.org/officeDocument/2006/relationships/hyperlink" Target="https://www.icao.int/environmental-protection/Climate-Adaptation" TargetMode="External"/><Relationship Id="rId17" Type="http://schemas.openxmlformats.org/officeDocument/2006/relationships/hyperlink" Target="https://www.kirklees.gov.uk/involve/publisheddoc.aspx?ref=jnndrs8j&amp;e=1146" TargetMode="External"/><Relationship Id="rId2" Type="http://schemas.openxmlformats.org/officeDocument/2006/relationships/hyperlink" Target="https://www.theccc.org.uk/publication/a-well-adapted-uk/" TargetMode="External"/><Relationship Id="rId16" Type="http://schemas.openxmlformats.org/officeDocument/2006/relationships/hyperlink" Target="https://www.gov.uk/government/publications/climate-adaption-reporting-fourth-round-aviation" TargetMode="External"/><Relationship Id="rId20" Type="http://schemas.openxmlformats.org/officeDocument/2006/relationships/hyperlink" Target="https://www.leedsbradfordairport.co.uk/the-latest/leeds-bradford-airport-joins-aire-resilience-company-to-help-protect-the-region-from-future-flooding" TargetMode="External"/><Relationship Id="rId1" Type="http://schemas.openxmlformats.org/officeDocument/2006/relationships/hyperlink" Target="https://www.reports.esriuk.com/view-report/b8eb3cee8f764147a2cfcd69cf36238f/E47000003" TargetMode="External"/><Relationship Id="rId6" Type="http://schemas.openxmlformats.org/officeDocument/2006/relationships/hyperlink" Target="https://www.leeds.gov.uk/flooding/flood-risk-management-strategy" TargetMode="External"/><Relationship Id="rId11" Type="http://schemas.openxmlformats.org/officeDocument/2006/relationships/hyperlink" Target="https://www.caa.co.uk/publication/download/23526" TargetMode="External"/><Relationship Id="rId5" Type="http://schemas.openxmlformats.org/officeDocument/2006/relationships/hyperlink" Target="https://calderdale-consult.objective.co.uk/kse/event/38086" TargetMode="External"/><Relationship Id="rId15" Type="http://schemas.openxmlformats.org/officeDocument/2006/relationships/hyperlink" Target="https://assets.publishing.service.gov.uk/media/677ff1d2d119b3453766562d/dft-non-technical_summary-climate-change.pdf" TargetMode="External"/><Relationship Id="rId10" Type="http://schemas.openxmlformats.org/officeDocument/2006/relationships/hyperlink" Target="https://www.maritimetransport.com/locations/yorkshire-and-the-humber" TargetMode="External"/><Relationship Id="rId19" Type="http://schemas.openxmlformats.org/officeDocument/2006/relationships/hyperlink" Target="https://www.leedsbradfordairport.co.uk/sustainability" TargetMode="External"/><Relationship Id="rId4" Type="http://schemas.openxmlformats.org/officeDocument/2006/relationships/hyperlink" Target="https://canalrivertrust.org.uk/canals-and-rivers/calder-and-hebble-navigation" TargetMode="External"/><Relationship Id="rId9" Type="http://schemas.openxmlformats.org/officeDocument/2006/relationships/hyperlink" Target="https://westyorkshire.moderngov.co.uk/documents/s44006/Appendix26LTPEvidenceBaseChapter6Freight.pdf" TargetMode="External"/><Relationship Id="rId14" Type="http://schemas.openxmlformats.org/officeDocument/2006/relationships/hyperlink" Target="https://canalrivertrust.org.uk/notices" TargetMode="External"/></Relationships>
</file>

<file path=word/theme/theme1.xml><?xml version="1.0" encoding="utf-8"?>
<a:theme xmlns:a="http://schemas.openxmlformats.org/drawingml/2006/main" name="Office Theme">
  <a:themeElements>
    <a:clrScheme name="CAG 2025">
      <a:dk1>
        <a:sysClr val="windowText" lastClr="000000"/>
      </a:dk1>
      <a:lt1>
        <a:sysClr val="window" lastClr="FFFFFF"/>
      </a:lt1>
      <a:dk2>
        <a:srgbClr val="212121"/>
      </a:dk2>
      <a:lt2>
        <a:srgbClr val="E7E6E6"/>
      </a:lt2>
      <a:accent1>
        <a:srgbClr val="539791"/>
      </a:accent1>
      <a:accent2>
        <a:srgbClr val="E69742"/>
      </a:accent2>
      <a:accent3>
        <a:srgbClr val="164146"/>
      </a:accent3>
      <a:accent4>
        <a:srgbClr val="424342"/>
      </a:accent4>
      <a:accent5>
        <a:srgbClr val="537B97"/>
      </a:accent5>
      <a:accent6>
        <a:srgbClr val="975359"/>
      </a:accent6>
      <a:hlink>
        <a:srgbClr val="824C11"/>
      </a:hlink>
      <a:folHlink>
        <a:srgbClr val="824C11"/>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13dd191-148c-44a8-9e0e-8ae84cba73b8">
      <Terms xmlns="http://schemas.microsoft.com/office/infopath/2007/PartnerControls"/>
    </lcf76f155ced4ddcb4097134ff3c332f>
    <TaxCatchAll xmlns="3f181f26-e555-4901-bc2a-e7ed5df31f9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A93B50C6037BE48BD2AB339F90B25E3" ma:contentTypeVersion="11" ma:contentTypeDescription="Create a new document." ma:contentTypeScope="" ma:versionID="aec01fcd30721544e98749c75e815cf4">
  <xsd:schema xmlns:xsd="http://www.w3.org/2001/XMLSchema" xmlns:xs="http://www.w3.org/2001/XMLSchema" xmlns:p="http://schemas.microsoft.com/office/2006/metadata/properties" xmlns:ns2="e13dd191-148c-44a8-9e0e-8ae84cba73b8" xmlns:ns3="3f181f26-e555-4901-bc2a-e7ed5df31f9c" targetNamespace="http://schemas.microsoft.com/office/2006/metadata/properties" ma:root="true" ma:fieldsID="b92e77adecfcaac24dbc1f5eeeed0c68" ns2:_="" ns3:_="">
    <xsd:import namespace="e13dd191-148c-44a8-9e0e-8ae84cba73b8"/>
    <xsd:import namespace="3f181f26-e555-4901-bc2a-e7ed5df31f9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3dd191-148c-44a8-9e0e-8ae84cba73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057b688-5847-4505-b4c4-9f7756de733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f181f26-e555-4901-bc2a-e7ed5df31f9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59d0c66-cc99-4dc3-8999-7d7501a19551}" ma:internalName="TaxCatchAll" ma:showField="CatchAllData" ma:web="3f181f26-e555-4901-bc2a-e7ed5df31f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A96E90-AF35-4FB5-9C93-0EE0126075DF}">
  <ds:schemaRefs>
    <ds:schemaRef ds:uri="http://schemas.microsoft.com/office/2006/metadata/properties"/>
    <ds:schemaRef ds:uri="http://schemas.microsoft.com/office/infopath/2007/PartnerControls"/>
    <ds:schemaRef ds:uri="e13dd191-148c-44a8-9e0e-8ae84cba73b8"/>
    <ds:schemaRef ds:uri="3f181f26-e555-4901-bc2a-e7ed5df31f9c"/>
  </ds:schemaRefs>
</ds:datastoreItem>
</file>

<file path=customXml/itemProps2.xml><?xml version="1.0" encoding="utf-8"?>
<ds:datastoreItem xmlns:ds="http://schemas.openxmlformats.org/officeDocument/2006/customXml" ds:itemID="{48C47AB1-861B-4D82-A774-65D3B2D53E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3dd191-148c-44a8-9e0e-8ae84cba73b8"/>
    <ds:schemaRef ds:uri="3f181f26-e555-4901-bc2a-e7ed5df31f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3F0AB5A-1132-4ECC-9BD2-2C5A36718428}">
  <ds:schemaRefs>
    <ds:schemaRef ds:uri="http://schemas.microsoft.com/sharepoint/v3/contenttype/forms"/>
  </ds:schemaRefs>
</ds:datastoreItem>
</file>

<file path=customXml/itemProps4.xml><?xml version="1.0" encoding="utf-8"?>
<ds:datastoreItem xmlns:ds="http://schemas.openxmlformats.org/officeDocument/2006/customXml" ds:itemID="{7CA6ACB7-1C98-46B3-AD5C-CF3E9C1114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1780</Words>
  <Characters>10148</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Document</vt:lpstr>
    </vt:vector>
  </TitlesOfParts>
  <Company/>
  <LinksUpToDate>false</LinksUpToDate>
  <CharactersWithSpaces>11905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dc:title>
  <dc:subject/>
  <dc:creator>dm@cagconsult.co.uk</dc:creator>
  <cp:keywords/>
  <cp:lastModifiedBy>Derek Morgan</cp:lastModifiedBy>
  <cp:revision>238</cp:revision>
  <dcterms:created xsi:type="dcterms:W3CDTF">2026-09-17T04:37:00Z</dcterms:created>
  <dcterms:modified xsi:type="dcterms:W3CDTF">2026-10-08T15:40:00Z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0x0101005A93B50C6037BE48BD2AB339F90B25E3</vt:lpwstr>
  </property>
  <property fmtid="{D5CDD505-2E9C-101B-9397-08002B2CF9AE}" pid="3" name="docLang">
    <vt:lpwstr>en</vt:lpwstr>
  </property>
  <property fmtid="{D5CDD505-2E9C-101B-9397-08002B2CF9AE}" pid="4" name="MediaServiceImageTags">
    <vt:lpwstr/>
  </property>
</Properties>
</file>