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06A93D" w14:textId="77777777" w:rsidR="003B33E1" w:rsidRPr="009E6CE3" w:rsidRDefault="003B33E1" w:rsidP="003B33E1">
      <w:pPr>
        <w:pStyle w:val="Heading1"/>
      </w:pPr>
      <w:r w:rsidRPr="009E6CE3">
        <w:t>N10: Risks to Food Security</w:t>
      </w:r>
    </w:p>
    <w:p w14:paraId="0E9732E6" w14:textId="77777777" w:rsidR="003B33E1" w:rsidRPr="009E6CE3" w:rsidRDefault="003B33E1" w:rsidP="003B33E1">
      <w:pPr>
        <w:pStyle w:val="Heading2"/>
      </w:pPr>
      <w:r w:rsidRPr="009E6CE3">
        <w:t>Summary vulnerability assessment</w:t>
      </w:r>
    </w:p>
    <w:p w14:paraId="4413EEB9" w14:textId="77777777" w:rsidR="00A14A44" w:rsidRDefault="003B33E1" w:rsidP="003B33E1">
      <w:pPr>
        <w:rPr>
          <w:lang w:val="en-GB"/>
        </w:rPr>
      </w:pPr>
      <w:r w:rsidRPr="009E6CE3">
        <w:rPr>
          <w:lang w:val="en-GB"/>
        </w:rPr>
        <w:t xml:space="preserve">This report forms part of the West Yorkshire Combined Authority Climate Risk and Vulnerability Assessment and examines risks to food security in the region. West Yorkshire depends on climate-sensitive national and international food supply chains, while substantial areas of agricultural land face heat, drought, flooding, storms, pests and disease. The assessment rates exposure and sensitivity as significant because disruption could reduce food availability, increase prices and worsen existing food insecurity, particularly among low-income households and other groups with limited financial or practical capacity to respond. Food partnerships, food-aid networks, local strategies and community programmes provide significant adaptive capacity, but most address poverty, health or sustainability rather than climate disruption directly. Gaps remain in regional planning, long-term funding, supply-chain testing, emergency capacity and arrangements for prolonged disruption. </w:t>
      </w:r>
    </w:p>
    <w:p w14:paraId="59885BB3" w14:textId="5E5D8068" w:rsidR="003B33E1" w:rsidRPr="009E6CE3" w:rsidRDefault="003B33E1" w:rsidP="003B33E1">
      <w:pPr>
        <w:rPr>
          <w:lang w:val="en-GB" w:eastAsia="en-US"/>
        </w:rPr>
      </w:pPr>
      <w:r w:rsidRPr="0025249F">
        <w:rPr>
          <w:lang w:val="en-GB"/>
        </w:rPr>
        <w:t xml:space="preserve">The resulting </w:t>
      </w:r>
      <w:r w:rsidRPr="009E6CE3">
        <w:rPr>
          <w:b/>
          <w:bCs/>
          <w:lang w:val="en-GB"/>
        </w:rPr>
        <w:t>overall vulnerability rating is medium</w:t>
      </w:r>
      <w:r w:rsidRPr="009E6CE3">
        <w:rPr>
          <w:lang w:val="en-GB"/>
        </w:rPr>
        <w:t>. The figure below summarises the assessment scores for exposure, sensitivity, adaptive capacity and overall vulnerability</w:t>
      </w:r>
      <w:r w:rsidRPr="009E6CE3">
        <w:rPr>
          <w:lang w:val="en-GB" w:eastAsia="en-US"/>
        </w:rPr>
        <w:t>.</w:t>
      </w:r>
      <w:bookmarkStart w:id="0" w:name="_Ref240974859"/>
      <w:r w:rsidRPr="009E6CE3">
        <w:rPr>
          <w:rStyle w:val="FootnoteReference"/>
          <w:lang w:val="en-GB" w:eastAsia="en-US"/>
        </w:rPr>
        <w:footnoteReference w:id="1"/>
      </w:r>
      <w:bookmarkEnd w:id="0"/>
    </w:p>
    <w:p w14:paraId="5F32BA11" w14:textId="77777777" w:rsidR="003B33E1" w:rsidRPr="009E6CE3" w:rsidRDefault="003B33E1" w:rsidP="003B33E1">
      <w:pPr>
        <w:rPr>
          <w:lang w:val="en-GB" w:eastAsia="en-US"/>
        </w:rPr>
      </w:pPr>
      <w:r w:rsidRPr="009E6CE3">
        <w:rPr>
          <w:noProof/>
          <w:lang w:val="en-GB" w:eastAsia="en-US"/>
        </w:rPr>
        <mc:AlternateContent>
          <mc:Choice Requires="wpg">
            <w:drawing>
              <wp:inline distT="0" distB="0" distL="0" distR="0" wp14:anchorId="536A240F" wp14:editId="52E1A6AC">
                <wp:extent cx="5554980" cy="1218565"/>
                <wp:effectExtent l="0" t="0" r="26670" b="19685"/>
                <wp:docPr id="102" name="Group 101">
                  <a:extLst xmlns:a="http://schemas.openxmlformats.org/drawingml/2006/main">
                    <a:ext uri="{FF2B5EF4-FFF2-40B4-BE49-F238E27FC236}">
                      <a16:creationId xmlns:a16="http://schemas.microsoft.com/office/drawing/2014/main" id="{AEF97EC4-6A2F-D439-C703-5FD01FD2663A}"/>
                    </a:ext>
                  </a:extLst>
                </wp:docPr>
                <wp:cNvGraphicFramePr/>
                <a:graphic xmlns:a="http://schemas.openxmlformats.org/drawingml/2006/main">
                  <a:graphicData uri="http://schemas.microsoft.com/office/word/2010/wordprocessingGroup">
                    <wpg:wgp>
                      <wpg:cNvGrpSpPr/>
                      <wpg:grpSpPr>
                        <a:xfrm>
                          <a:off x="0" y="0"/>
                          <a:ext cx="5554980" cy="1218565"/>
                          <a:chOff x="0" y="0"/>
                          <a:chExt cx="5555226" cy="1218610"/>
                        </a:xfrm>
                      </wpg:grpSpPr>
                      <wps:wsp>
                        <wps:cNvPr id="2039127646" name="Rectangle 2039127646">
                          <a:extLst>
                            <a:ext uri="{FF2B5EF4-FFF2-40B4-BE49-F238E27FC236}">
                              <a16:creationId xmlns:a16="http://schemas.microsoft.com/office/drawing/2014/main" id="{5EC484B1-9ED2-BC94-EE50-F1A27AAC3D37}"/>
                            </a:ext>
                          </a:extLst>
                        </wps:cNvPr>
                        <wps:cNvSpPr/>
                        <wps:spPr>
                          <a:xfrm>
                            <a:off x="0" y="0"/>
                            <a:ext cx="5555226" cy="121861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177012087" name="Rectangle 1177012087">
                          <a:extLst>
                            <a:ext uri="{FF2B5EF4-FFF2-40B4-BE49-F238E27FC236}">
                              <a16:creationId xmlns:a16="http://schemas.microsoft.com/office/drawing/2014/main" id="{606AE840-B816-4E27-5429-93DE3E3473ED}"/>
                            </a:ext>
                          </a:extLst>
                        </wps:cNvPr>
                        <wps:cNvSpPr/>
                        <wps:spPr>
                          <a:xfrm>
                            <a:off x="118713" y="610292"/>
                            <a:ext cx="990773" cy="515398"/>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7886C63"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37B2EB81"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489020998" name="Freeform: Shape 1489020998">
                          <a:extLst>
                            <a:ext uri="{FF2B5EF4-FFF2-40B4-BE49-F238E27FC236}">
                              <a16:creationId xmlns:a16="http://schemas.microsoft.com/office/drawing/2014/main" id="{E1C2B000-6D35-7695-3ADE-06EBB98DAC47}"/>
                            </a:ext>
                          </a:extLst>
                        </wps:cNvPr>
                        <wps:cNvSpPr/>
                        <wps:spPr>
                          <a:xfrm>
                            <a:off x="1109171" y="424754"/>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224096298" name="Rectangle 1224096298">
                          <a:extLst>
                            <a:ext uri="{FF2B5EF4-FFF2-40B4-BE49-F238E27FC236}">
                              <a16:creationId xmlns:a16="http://schemas.microsoft.com/office/drawing/2014/main" id="{A312C97F-4677-4DF7-4C45-A3B8AD7EABEF}"/>
                            </a:ext>
                          </a:extLst>
                        </wps:cNvPr>
                        <wps:cNvSpPr/>
                        <wps:spPr>
                          <a:xfrm>
                            <a:off x="1571260" y="610292"/>
                            <a:ext cx="990773" cy="515398"/>
                          </a:xfrm>
                          <a:prstGeom prst="rect">
                            <a:avLst/>
                          </a:prstGeom>
                          <a:solidFill>
                            <a:srgbClr val="FF6600"/>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66019006"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4FF200D"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707272441" name="Freeform: Shape 707272441">
                          <a:extLst>
                            <a:ext uri="{FF2B5EF4-FFF2-40B4-BE49-F238E27FC236}">
                              <a16:creationId xmlns:a16="http://schemas.microsoft.com/office/drawing/2014/main" id="{5E681302-08EC-E79E-B2CB-3BD636ADC84A}"/>
                            </a:ext>
                          </a:extLst>
                        </wps:cNvPr>
                        <wps:cNvSpPr/>
                        <wps:spPr>
                          <a:xfrm>
                            <a:off x="2561719" y="424754"/>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318765959" name="Rectangle 318765959">
                          <a:extLst>
                            <a:ext uri="{FF2B5EF4-FFF2-40B4-BE49-F238E27FC236}">
                              <a16:creationId xmlns:a16="http://schemas.microsoft.com/office/drawing/2014/main" id="{C1550E91-2478-A7D2-D6B1-C9EA9E9D3E0B}"/>
                            </a:ext>
                          </a:extLst>
                        </wps:cNvPr>
                        <wps:cNvSpPr/>
                        <wps:spPr>
                          <a:xfrm>
                            <a:off x="3023808" y="610292"/>
                            <a:ext cx="990773" cy="515398"/>
                          </a:xfrm>
                          <a:prstGeom prst="rect">
                            <a:avLst/>
                          </a:prstGeom>
                          <a:solidFill>
                            <a:srgbClr val="FFCC66"/>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2A7D85D0"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2C835667"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376478654" name="Freeform: Shape 376478654">
                          <a:extLst>
                            <a:ext uri="{FF2B5EF4-FFF2-40B4-BE49-F238E27FC236}">
                              <a16:creationId xmlns:a16="http://schemas.microsoft.com/office/drawing/2014/main" id="{3639649E-6C16-7DA5-1B0E-0A8ACB9AFD9F}"/>
                            </a:ext>
                          </a:extLst>
                        </wps:cNvPr>
                        <wps:cNvSpPr/>
                        <wps:spPr>
                          <a:xfrm>
                            <a:off x="4014266" y="424754"/>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1860963417" name="Rectangle 1860963417">
                          <a:extLst>
                            <a:ext uri="{FF2B5EF4-FFF2-40B4-BE49-F238E27FC236}">
                              <a16:creationId xmlns:a16="http://schemas.microsoft.com/office/drawing/2014/main" id="{2D129908-8E65-C39D-12BF-0731750FA61D}"/>
                            </a:ext>
                          </a:extLst>
                        </wps:cNvPr>
                        <wps:cNvSpPr/>
                        <wps:spPr>
                          <a:xfrm>
                            <a:off x="4476354" y="610292"/>
                            <a:ext cx="990382" cy="515398"/>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5967F17"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39966EBF"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wps:txbx>
                        <wps:bodyPr spcFirstLastPara="0" vert="horz" wrap="square" lIns="72082" tIns="72082" rIns="72082" bIns="72082" numCol="1" spcCol="1270" anchor="ctr" anchorCtr="0">
                          <a:noAutofit/>
                        </wps:bodyPr>
                      </wps:wsp>
                      <wps:wsp>
                        <wps:cNvPr id="545922167" name="Rectangle 545922167">
                          <a:extLst>
                            <a:ext uri="{FF2B5EF4-FFF2-40B4-BE49-F238E27FC236}">
                              <a16:creationId xmlns:a16="http://schemas.microsoft.com/office/drawing/2014/main" id="{A2C7CF59-497E-C8FC-F59A-40E214FFBD57}"/>
                            </a:ext>
                          </a:extLst>
                        </wps:cNvPr>
                        <wps:cNvSpPr/>
                        <wps:spPr>
                          <a:xfrm>
                            <a:off x="118713" y="98228"/>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B23639C"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566921310" name="Rectangle 566921310">
                          <a:extLst>
                            <a:ext uri="{FF2B5EF4-FFF2-40B4-BE49-F238E27FC236}">
                              <a16:creationId xmlns:a16="http://schemas.microsoft.com/office/drawing/2014/main" id="{74E4ADDC-1B41-2EA4-A749-84A5E0BBD65B}"/>
                            </a:ext>
                          </a:extLst>
                        </wps:cNvPr>
                        <wps:cNvSpPr/>
                        <wps:spPr>
                          <a:xfrm>
                            <a:off x="1571260" y="98228"/>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77B149C9"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951519894" name="Rectangle 951519894">
                          <a:extLst>
                            <a:ext uri="{FF2B5EF4-FFF2-40B4-BE49-F238E27FC236}">
                              <a16:creationId xmlns:a16="http://schemas.microsoft.com/office/drawing/2014/main" id="{6DBBFDDA-41FD-A59F-055A-7B76129717D4}"/>
                            </a:ext>
                          </a:extLst>
                        </wps:cNvPr>
                        <wps:cNvSpPr/>
                        <wps:spPr>
                          <a:xfrm>
                            <a:off x="3023808" y="98228"/>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6768965C"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460679959" name="Rectangle 460679959">
                          <a:extLst>
                            <a:ext uri="{FF2B5EF4-FFF2-40B4-BE49-F238E27FC236}">
                              <a16:creationId xmlns:a16="http://schemas.microsoft.com/office/drawing/2014/main" id="{6FFF2882-1AE6-F143-3918-9AF6672404DD}"/>
                            </a:ext>
                          </a:extLst>
                        </wps:cNvPr>
                        <wps:cNvSpPr/>
                        <wps:spPr>
                          <a:xfrm>
                            <a:off x="4476354" y="98228"/>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25D2875"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536A240F" id="Group 101" o:spid="_x0000_s1026" style="width:437.4pt;height:95.95pt;mso-position-horizontal-relative:char;mso-position-vertical-relative:line" coordsize="55552,121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">
                <v:rect id="Rectangle 2039127646" o:spid="_x0000_s1027" style="position:absolute;width:55552;height:121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" fillcolor="#dbebea" strokecolor="#0c1615 [484]" strokeweight=".25pt"/>
                <v:rect id="Rectangle 1177012087" o:spid="_x0000_s1028" style="position:absolute;left:1187;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" fillcolor="#f60" strokecolor="white [3212]" strokeweight=".25pt">
                  <v:textbox inset="2.00228mm,2.00228mm,2.00228mm,2.00228mm">
                    <w:txbxContent>
                      <w:p w14:paraId="27886C63"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37B2EB81"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1489020998" o:spid="_x0000_s1029" style="position:absolute;left:11091;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rect id="Rectangle 1224096298" o:spid="_x0000_s1030" style="position:absolute;left:15712;top:6102;width:9908;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" fillcolor="#f60" strokecolor="white [3212]" strokeweight=".25pt">
                  <v:textbox inset="2.00228mm,2.00228mm,2.00228mm,2.00228mm">
                    <w:txbxContent>
                      <w:p w14:paraId="66019006"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 xml:space="preserve">2 </w:t>
                        </w:r>
                      </w:p>
                      <w:p w14:paraId="64FF200D"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shape id="Freeform: Shape 707272441" o:spid="_x0000_s1031" style="position:absolute;left:25617;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" path="m85519,246717r474142,l559661,398463r-474142,l85519,246717xe" fillcolor="#94c4bf [1940]" stroked="f">
                  <v:path arrowok="t" o:connecttype="custom" o:connectlocs="61292,176823;401112,176823;401112,285581;61292,285581;61292,176823" o:connectangles="0,0,0,0,0"/>
                </v:shape>
                <v:rect id="Rectangle 318765959" o:spid="_x0000_s1032" style="position:absolute;left:30238;top:6102;width:9907;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" fillcolor="#fc6" strokecolor="white [3212]" strokeweight=".25pt">
                  <v:textbox inset="2.00228mm,2.00228mm,2.00228mm,2.00228mm">
                    <w:txbxContent>
                      <w:p w14:paraId="2A7D85D0"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 xml:space="preserve">2 </w:t>
                        </w:r>
                      </w:p>
                      <w:p w14:paraId="2C835667"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Significant</w:t>
                        </w:r>
                      </w:p>
                    </w:txbxContent>
                  </v:textbox>
                </v:rect>
                <v:shape id="Freeform: Shape 376478654" o:spid="_x0000_s1033" style="position:absolute;left:40142;top:4247;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1860963417" o:spid="_x0000_s1034" style="position:absolute;left:44763;top:6102;width:9904;height:51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" fillcolor="#fc6" strokecolor="white [3212]" strokeweight=".25pt">
                  <v:textbox inset="2.00228mm,2.00228mm,2.00228mm,2.00228mm">
                    <w:txbxContent>
                      <w:p w14:paraId="45967F17"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2</w:t>
                        </w:r>
                      </w:p>
                      <w:p w14:paraId="39966EBF" w14:textId="77777777" w:rsidR="003B33E1" w:rsidRDefault="003B33E1" w:rsidP="003B33E1">
                        <w:pPr>
                          <w:spacing w:after="92" w:line="216" w:lineRule="auto"/>
                          <w:jc w:val="center"/>
                          <w:rPr>
                            <w:rFonts w:hAnsi="Aptos"/>
                            <w:b/>
                            <w:bCs/>
                            <w:color w:val="000000" w:themeColor="text1"/>
                            <w:kern w:val="24"/>
                            <w:sz w:val="22"/>
                            <w:szCs w:val="22"/>
                          </w:rPr>
                        </w:pPr>
                        <w:r>
                          <w:rPr>
                            <w:rFonts w:hAnsi="Aptos"/>
                            <w:b/>
                            <w:bCs/>
                            <w:color w:val="000000" w:themeColor="text1"/>
                            <w:kern w:val="24"/>
                            <w:sz w:val="22"/>
                            <w:szCs w:val="22"/>
                          </w:rPr>
                          <w:t>Medium</w:t>
                        </w:r>
                      </w:p>
                    </w:txbxContent>
                  </v:textbox>
                </v:rect>
                <v:rect id="Rectangle 545922167" o:spid="_x0000_s1035" style="position:absolute;left:1187;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" fillcolor="#47928d" strokecolor="white [3212]" strokeweight=".25pt">
                  <v:textbox inset="2.00228mm,2.00228mm,2.00228mm,2.00228mm">
                    <w:txbxContent>
                      <w:p w14:paraId="5B23639C"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566921310" o:spid="_x0000_s1036" style="position:absolute;left:15712;top:982;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" fillcolor="#47928d" strokecolor="white [3212]" strokeweight=".25pt">
                  <v:textbox inset="2.00228mm,2.00228mm,2.00228mm,2.00228mm">
                    <w:txbxContent>
                      <w:p w14:paraId="77B149C9"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951519894" o:spid="_x0000_s1037" style="position:absolute;left:30238;top:982;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" fillcolor="#47928d" strokecolor="white [3212]" strokeweight=".25pt">
                  <v:textbox inset="2.00228mm,2.00228mm,2.00228mm,2.00228mm">
                    <w:txbxContent>
                      <w:p w14:paraId="6768965C"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460679959" o:spid="_x0000_s1038" style="position:absolute;left:44763;top:982;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" fillcolor="#47928d" strokecolor="white [3212]" strokeweight=".25pt">
                  <v:textbox inset="2.00228mm,2.00228mm,2.00228mm,2.00228mm">
                    <w:txbxContent>
                      <w:p w14:paraId="325D2875"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0698A3C7" w14:textId="77777777" w:rsidR="003B33E1" w:rsidRPr="009E6CE3" w:rsidRDefault="003B33E1" w:rsidP="003B33E1">
      <w:pPr>
        <w:pStyle w:val="Heading2"/>
      </w:pPr>
      <w:r w:rsidRPr="009E6CE3">
        <w:t>Risk summary</w:t>
      </w:r>
    </w:p>
    <w:p w14:paraId="28CFBD38" w14:textId="77777777" w:rsidR="003B33E1" w:rsidRPr="009E6CE3" w:rsidRDefault="003B33E1" w:rsidP="003B33E1">
      <w:pPr>
        <w:rPr>
          <w:lang w:val="en-GB"/>
        </w:rPr>
      </w:pPr>
      <w:r w:rsidRPr="009E6CE3">
        <w:rPr>
          <w:lang w:val="en-GB"/>
        </w:rPr>
        <w:t>Climate change can affect food security through damage to crops, livestock, fisheries and ecosystems in the United Kingdom and overseas. Heat, drought, flooding, storms, pests and disease can disrupt production, processing, storage and transport.</w:t>
      </w:r>
      <w:r w:rsidRPr="009E6CE3">
        <w:rPr>
          <w:rStyle w:val="FootnoteReference"/>
          <w:lang w:val="en-GB"/>
        </w:rPr>
        <w:footnoteReference w:id="2"/>
      </w:r>
      <w:r w:rsidRPr="009E6CE3">
        <w:rPr>
          <w:lang w:val="en-GB"/>
        </w:rPr>
        <w:t xml:space="preserve"> These disruptions can reduce availability and increase prices. The effects are likely to combine with poverty, high household costs and other supply-chain shocks, placing greatest pressure on people who already struggle to afford a healthy diet. The national assessment rates the risk as High now and Very high in future periods, with critical action needed.</w:t>
      </w:r>
      <w:bookmarkStart w:id="1" w:name="_Ref241052972"/>
      <w:r>
        <w:rPr>
          <w:rStyle w:val="FootnoteReference"/>
          <w:lang w:val="en-GB"/>
        </w:rPr>
        <w:footnoteReference w:id="3"/>
      </w:r>
      <w:bookmarkEnd w:id="1"/>
    </w:p>
    <w:p w14:paraId="449AE276" w14:textId="77777777" w:rsidR="003B33E1" w:rsidRPr="009E6CE3" w:rsidRDefault="003B33E1" w:rsidP="003B33E1">
      <w:pPr>
        <w:pStyle w:val="Heading2"/>
      </w:pPr>
      <w:r w:rsidRPr="009E6CE3">
        <w:lastRenderedPageBreak/>
        <w:t>Exposure: How exposed is the West Yorkshire region to this risk?</w:t>
      </w:r>
    </w:p>
    <w:p w14:paraId="04EEAFE6" w14:textId="77777777" w:rsidR="003B33E1" w:rsidRPr="009E6CE3" w:rsidRDefault="003B33E1" w:rsidP="003B33E1">
      <w:pPr>
        <w:rPr>
          <w:lang w:val="en-GB"/>
        </w:rPr>
      </w:pPr>
      <w:r w:rsidRPr="009E6CE3">
        <w:rPr>
          <w:noProof/>
          <w:lang w:val="en-GB"/>
        </w:rPr>
        <mc:AlternateContent>
          <mc:Choice Requires="wpg">
            <w:drawing>
              <wp:inline distT="0" distB="0" distL="0" distR="0" wp14:anchorId="67227FCC" wp14:editId="318DB371">
                <wp:extent cx="2966594" cy="445008"/>
                <wp:effectExtent l="0" t="0" r="24765" b="12700"/>
                <wp:docPr id="50" name="Group 49">
                  <a:extLst xmlns:a="http://schemas.openxmlformats.org/drawingml/2006/main">
                    <a:ext uri="{FF2B5EF4-FFF2-40B4-BE49-F238E27FC236}">
                      <a16:creationId xmlns:a16="http://schemas.microsoft.com/office/drawing/2014/main" id="{08B73182-5CFE-8920-FCCC-97C16AE554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674155593" name="Rectangle 674155593">
                          <a:extLst>
                            <a:ext uri="{FF2B5EF4-FFF2-40B4-BE49-F238E27FC236}">
                              <a16:creationId xmlns:a16="http://schemas.microsoft.com/office/drawing/2014/main" id="{E788E719-17F5-2D9D-AAFB-268D686A2A5C}"/>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41731103" name="Rectangle 941731103">
                          <a:extLst>
                            <a:ext uri="{FF2B5EF4-FFF2-40B4-BE49-F238E27FC236}">
                              <a16:creationId xmlns:a16="http://schemas.microsoft.com/office/drawing/2014/main" id="{D540CB11-E9B7-038A-0462-9CBF181BB74C}"/>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AE5CC99" w14:textId="77777777" w:rsidR="003B33E1" w:rsidRDefault="003B33E1" w:rsidP="003B33E1">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853351473" name="Rectangle 1853351473">
                          <a:extLst>
                            <a:ext uri="{FF2B5EF4-FFF2-40B4-BE49-F238E27FC236}">
                              <a16:creationId xmlns:a16="http://schemas.microsoft.com/office/drawing/2014/main" id="{227C8918-A144-8443-074A-E3013F02EF91}"/>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CE6D6FC" w14:textId="77777777" w:rsidR="003B33E1" w:rsidRDefault="003B33E1" w:rsidP="003B33E1">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g:wgp>
                  </a:graphicData>
                </a:graphic>
              </wp:inline>
            </w:drawing>
          </mc:Choice>
          <mc:Fallback>
            <w:pict>
              <v:group w14:anchorId="67227FCC" id="Group 49" o:spid="_x0000_s1039"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">
                <v:rect id="Rectangle 674155593" o:spid="_x0000_s1040"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" fillcolor="#dbebea" strokecolor="#0c1615 [484]" strokeweight=".25pt"/>
                <v:rect id="Rectangle 941731103" o:spid="_x0000_s1041"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" fillcolor="#f60" strokecolor="white [3212]" strokeweight=".25pt">
                  <v:textbox inset="2.00228mm,2.00228mm,2.00228mm,2.00228mm">
                    <w:txbxContent>
                      <w:p w14:paraId="3AE5CC99" w14:textId="77777777" w:rsidR="003B33E1" w:rsidRDefault="003B33E1" w:rsidP="003B33E1">
                        <w:pPr>
                          <w:spacing w:after="92" w:line="216" w:lineRule="auto"/>
                          <w:jc w:val="center"/>
                          <w:rPr>
                            <w:rFonts w:hAnsi="Aptos"/>
                            <w:b/>
                            <w:color w:val="FFFFFF" w:themeColor="light1"/>
                            <w:kern w:val="24"/>
                            <w:sz w:val="22"/>
                            <w:szCs w:val="22"/>
                          </w:rPr>
                        </w:pPr>
                        <w:r>
                          <w:rPr>
                            <w:rFonts w:hAnsi="Aptos"/>
                            <w:b/>
                            <w:color w:val="FFFFFF" w:themeColor="light1"/>
                            <w:kern w:val="24"/>
                            <w:sz w:val="22"/>
                            <w:szCs w:val="22"/>
                          </w:rPr>
                          <w:t>Significant</w:t>
                        </w:r>
                      </w:p>
                    </w:txbxContent>
                  </v:textbox>
                </v:rect>
                <v:rect id="Rectangle 1853351473" o:spid="_x0000_s1042"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" fillcolor="#47928d" strokecolor="white [3212]" strokeweight=".25pt">
                  <v:textbox inset="2.00228mm,2.00228mm,2.00228mm,2.00228mm">
                    <w:txbxContent>
                      <w:p w14:paraId="1CE6D6FC" w14:textId="77777777" w:rsidR="003B33E1" w:rsidRDefault="003B33E1" w:rsidP="003B33E1">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Exposure</w:t>
                        </w:r>
                      </w:p>
                    </w:txbxContent>
                  </v:textbox>
                </v:rect>
                <w10:anchorlock/>
              </v:group>
            </w:pict>
          </mc:Fallback>
        </mc:AlternateContent>
      </w:r>
      <w:r w:rsidRPr="009E6CE3">
        <w:rPr>
          <w:lang w:val="en-GB"/>
        </w:rPr>
        <w:t xml:space="preserve"> </w:t>
      </w:r>
    </w:p>
    <w:p w14:paraId="53DEB4AA" w14:textId="77777777" w:rsidR="003B33E1" w:rsidRPr="009E6CE3" w:rsidRDefault="003B33E1" w:rsidP="003B33E1">
      <w:pPr>
        <w:rPr>
          <w:lang w:val="en-GB"/>
        </w:rPr>
      </w:pPr>
      <w:r w:rsidRPr="009E6CE3">
        <w:rPr>
          <w:lang w:val="en-GB"/>
        </w:rPr>
        <w:t>Exposure extends across West Yorkshire because residents, food businesses, public services and community organisations all depend on national and international food supply chains. The United Kingdom sources food through domestic production and trade at an overall ratio of about 60:40. It remains particularly dependent on imports for fruit, vegetables and seafood, including supplies from countries facing climate and sustainability pressures.</w:t>
      </w:r>
      <w:bookmarkStart w:id="2" w:name="_Ref241005358"/>
      <w:r w:rsidRPr="009E6CE3">
        <w:rPr>
          <w:rStyle w:val="FootnoteReference"/>
          <w:lang w:val="en-GB"/>
        </w:rPr>
        <w:footnoteReference w:id="4"/>
      </w:r>
      <w:bookmarkEnd w:id="2"/>
      <w:r w:rsidRPr="009E6CE3">
        <w:rPr>
          <w:lang w:val="en-GB"/>
        </w:rPr>
        <w:t xml:space="preserve"> </w:t>
      </w:r>
    </w:p>
    <w:p w14:paraId="21C5BABF" w14:textId="77777777" w:rsidR="003B33E1" w:rsidRPr="009E6CE3" w:rsidRDefault="003B33E1" w:rsidP="003B33E1">
      <w:pPr>
        <w:rPr>
          <w:lang w:val="en-GB"/>
        </w:rPr>
      </w:pPr>
      <w:r>
        <w:rPr>
          <w:noProof/>
          <w:lang w:val="en-GB"/>
        </w:rPr>
        <w:drawing>
          <wp:anchor distT="0" distB="0" distL="114300" distR="114300" simplePos="0" relativeHeight="251661312" behindDoc="0" locked="0" layoutInCell="1" allowOverlap="1" wp14:anchorId="2429B2F8" wp14:editId="6EC3A16B">
            <wp:simplePos x="0" y="0"/>
            <wp:positionH relativeFrom="column">
              <wp:posOffset>2567940</wp:posOffset>
            </wp:positionH>
            <wp:positionV relativeFrom="paragraph">
              <wp:posOffset>1343025</wp:posOffset>
            </wp:positionV>
            <wp:extent cx="3180080" cy="2011680"/>
            <wp:effectExtent l="0" t="0" r="1270" b="7620"/>
            <wp:wrapSquare wrapText="bothSides"/>
            <wp:docPr id="141834217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42175" name="Picture 1418342175"/>
                    <pic:cNvPicPr/>
                  </pic:nvPicPr>
                  <pic:blipFill rotWithShape="1">
                    <a:blip r:embed="rId11" cstate="print">
                      <a:extLst>
                        <a:ext uri="{28A0092B-C50C-407E-A947-70E740481C1C}">
                          <a14:useLocalDpi xmlns:a14="http://schemas.microsoft.com/office/drawing/2010/main" val="0"/>
                        </a:ext>
                      </a:extLst>
                    </a:blip>
                    <a:srcRect l="14513" t="21492" r="13318" b="17375"/>
                    <a:stretch>
                      <a:fillRect/>
                    </a:stretch>
                  </pic:blipFill>
                  <pic:spPr bwMode="auto">
                    <a:xfrm>
                      <a:off x="0" y="0"/>
                      <a:ext cx="3180080" cy="20116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E6CE3">
        <w:rPr>
          <w:lang w:val="en-GB"/>
        </w:rPr>
        <w:t>Heat also creates risks beyond primary production. Perishable foods depend on temperature-controlled storage and transport, and national CCRA4 supporting research identifies rising ambient temperatures and more frequent or prolonged heatwaves as risks to cold-chain resilience.</w:t>
      </w:r>
      <w:r w:rsidRPr="009E6CE3">
        <w:rPr>
          <w:rStyle w:val="FootnoteReference"/>
          <w:lang w:val="en-GB"/>
        </w:rPr>
        <w:footnoteReference w:id="5"/>
      </w:r>
      <w:r w:rsidRPr="009E6CE3">
        <w:rPr>
          <w:lang w:val="en-GB"/>
        </w:rPr>
        <w:t xml:space="preserve"> The evidence available to this assessment did not identify the location, capacity or climate preparedness of cold-storage and distribution assets within West Yorkshire, so the scale of local exposure cannot yet be quantified.</w:t>
      </w:r>
    </w:p>
    <w:p w14:paraId="3999F4D3" w14:textId="77777777" w:rsidR="003B33E1" w:rsidRPr="009E6CE3" w:rsidRDefault="003B33E1" w:rsidP="003B33E1">
      <w:pPr>
        <w:rPr>
          <w:lang w:val="en-GB"/>
        </w:rPr>
      </w:pPr>
      <w:r w:rsidRPr="009E6CE3">
        <w:rPr>
          <w:lang w:val="en-GB"/>
        </w:rPr>
        <w:t>West Yorkshire also has substantial agricultural exposure. Agricultural land in Grades 1 to 5 covers 126,301 hectares, or 62% of the Combined Authority area. However, the best and most versatile Grades 1, 2 and 3a cover 34,500 hectares, or about 17%.</w:t>
      </w:r>
      <w:r w:rsidRPr="009E6CE3">
        <w:rPr>
          <w:rStyle w:val="FootnoteReference"/>
          <w:lang w:val="en-GB"/>
        </w:rPr>
        <w:footnoteReference w:id="6"/>
      </w:r>
      <w:r w:rsidRPr="009E6CE3">
        <w:rPr>
          <w:lang w:val="en-GB"/>
        </w:rPr>
        <w:t xml:space="preserve"> </w:t>
      </w:r>
    </w:p>
    <w:p w14:paraId="62520869" w14:textId="77777777" w:rsidR="003B33E1" w:rsidRPr="009E6CE3" w:rsidRDefault="003B33E1" w:rsidP="003B33E1">
      <w:pPr>
        <w:rPr>
          <w:lang w:val="en-GB"/>
        </w:rPr>
      </w:pPr>
      <w:r w:rsidRPr="009E6CE3">
        <w:rPr>
          <w:lang w:val="en-GB"/>
        </w:rPr>
        <w:t>Exposure to household food insecurity is uneven, as illustrated by recently published Joint Strategic Needs Assessments. In Wakefield, 42% of residents lived in neighbourhoods within the highest-risk national quintile in 2023–24. Higher-risk areas include central Wakefield, Castleford, Knottingley, Hemsworth and South Kirkby.</w:t>
      </w:r>
      <w:bookmarkStart w:id="3" w:name="_Ref241006717"/>
      <w:r w:rsidRPr="009E6CE3">
        <w:rPr>
          <w:rStyle w:val="FootnoteReference"/>
          <w:lang w:val="en-GB"/>
        </w:rPr>
        <w:footnoteReference w:id="7"/>
      </w:r>
      <w:bookmarkEnd w:id="3"/>
      <w:r w:rsidRPr="009E6CE3">
        <w:rPr>
          <w:lang w:val="en-GB"/>
        </w:rPr>
        <w:t xml:space="preserve">  Whilst in Bradford, the health needs assessment identified eight priority neighbourhoods and found gaps in nearby community food provision in Bierley and Tong, Holme Wood and </w:t>
      </w:r>
      <w:proofErr w:type="spellStart"/>
      <w:r w:rsidRPr="009E6CE3">
        <w:rPr>
          <w:lang w:val="en-GB"/>
        </w:rPr>
        <w:t>Ravenscliffe</w:t>
      </w:r>
      <w:proofErr w:type="spellEnd"/>
      <w:r w:rsidRPr="009E6CE3">
        <w:rPr>
          <w:lang w:val="en-GB"/>
        </w:rPr>
        <w:t>.</w:t>
      </w:r>
      <w:r w:rsidRPr="009E6CE3">
        <w:rPr>
          <w:rStyle w:val="FootnoteReference"/>
          <w:lang w:val="en-GB"/>
        </w:rPr>
        <w:footnoteReference w:id="8"/>
      </w:r>
    </w:p>
    <w:p w14:paraId="0019821C" w14:textId="77777777" w:rsidR="003B33E1" w:rsidRPr="009E6CE3" w:rsidRDefault="003B33E1" w:rsidP="003B33E1">
      <w:pPr>
        <w:rPr>
          <w:lang w:val="en-GB"/>
        </w:rPr>
      </w:pPr>
      <w:r w:rsidRPr="009E6CE3">
        <w:rPr>
          <w:lang w:val="en-GB"/>
        </w:rPr>
        <w:lastRenderedPageBreak/>
        <w:t>The Priority Places for Food Index identifies 37% of neighbourhoods in Yorkshire and the Humber as priority places, with concentrations in western and southern Yorkshire.</w:t>
      </w:r>
      <w:r w:rsidRPr="009E6CE3">
        <w:rPr>
          <w:rStyle w:val="FootnoteReference"/>
          <w:lang w:val="en-GB"/>
        </w:rPr>
        <w:footnoteReference w:id="9"/>
      </w:r>
      <w:r w:rsidRPr="009E6CE3">
        <w:rPr>
          <w:lang w:val="en-GB"/>
        </w:rPr>
        <w:t xml:space="preserve"> The index measures existing barriers such as income, car access, family food-support needs, fuel poverty and access to food retailers. It does not measure climate exposure directly, but it helps identify places where climate-related price or supply shocks could have greater effects.  </w:t>
      </w:r>
    </w:p>
    <w:p w14:paraId="6DA1171A" w14:textId="77777777" w:rsidR="003B33E1" w:rsidRPr="009E6CE3" w:rsidRDefault="003B33E1" w:rsidP="003B33E1">
      <w:pPr>
        <w:rPr>
          <w:lang w:val="en-GB"/>
        </w:rPr>
      </w:pPr>
      <w:r w:rsidRPr="009E6CE3">
        <w:rPr>
          <w:lang w:val="en-GB"/>
        </w:rPr>
        <w:t xml:space="preserve">The significant score for exposure is therefore made as a precautionary judgement based on region-wide dependence on climate-sensitive national and international supply chains and the substantial extent of agricultural land. </w:t>
      </w:r>
    </w:p>
    <w:p w14:paraId="580043B8" w14:textId="77777777" w:rsidR="003B33E1" w:rsidRPr="009E6CE3" w:rsidRDefault="003B33E1" w:rsidP="003B33E1">
      <w:pPr>
        <w:pStyle w:val="Heading2"/>
      </w:pPr>
      <w:r w:rsidRPr="009E6CE3">
        <w:t>Sensitivity: How significant could this risk be for the West Yorkshire region?</w:t>
      </w:r>
    </w:p>
    <w:p w14:paraId="1D32DA77" w14:textId="77777777" w:rsidR="003B33E1" w:rsidRPr="009E6CE3" w:rsidRDefault="003B33E1" w:rsidP="003B33E1">
      <w:pPr>
        <w:rPr>
          <w:lang w:val="en-GB" w:eastAsia="en-US"/>
        </w:rPr>
      </w:pPr>
      <w:r w:rsidRPr="009E6CE3">
        <w:rPr>
          <w:noProof/>
          <w:lang w:val="en-GB" w:eastAsia="en-US"/>
        </w:rPr>
        <mc:AlternateContent>
          <mc:Choice Requires="wpg">
            <w:drawing>
              <wp:anchor distT="0" distB="0" distL="114300" distR="114300" simplePos="0" relativeHeight="251659264" behindDoc="0" locked="0" layoutInCell="1" allowOverlap="1" wp14:anchorId="62147117" wp14:editId="45437CDC">
                <wp:simplePos x="0" y="0"/>
                <wp:positionH relativeFrom="column">
                  <wp:posOffset>0</wp:posOffset>
                </wp:positionH>
                <wp:positionV relativeFrom="paragraph">
                  <wp:posOffset>92710</wp:posOffset>
                </wp:positionV>
                <wp:extent cx="2966594" cy="445008"/>
                <wp:effectExtent l="0" t="0" r="24765" b="12700"/>
                <wp:wrapNone/>
                <wp:docPr id="4" name="Group 3">
                  <a:extLst xmlns:a="http://schemas.openxmlformats.org/drawingml/2006/main">
                    <a:ext uri="{FF2B5EF4-FFF2-40B4-BE49-F238E27FC236}">
                      <a16:creationId xmlns:a16="http://schemas.microsoft.com/office/drawing/2014/main" id="{6883576A-4A1B-1524-212F-6E27DD1892C6}"/>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1800479785" name="Rectangle 1800479785">
                          <a:extLst>
                            <a:ext uri="{FF2B5EF4-FFF2-40B4-BE49-F238E27FC236}">
                              <a16:creationId xmlns:a16="http://schemas.microsoft.com/office/drawing/2014/main" id="{CE1EA21A-DD4F-5B40-7460-71CD8DBBB584}"/>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99334398" name="Rectangle 99334398">
                          <a:extLst>
                            <a:ext uri="{FF2B5EF4-FFF2-40B4-BE49-F238E27FC236}">
                              <a16:creationId xmlns:a16="http://schemas.microsoft.com/office/drawing/2014/main" id="{550C0CC4-A39A-E107-80DB-B51A2FF9BE4B}"/>
                            </a:ext>
                          </a:extLst>
                        </wps:cNvPr>
                        <wps:cNvSpPr/>
                        <wps:spPr>
                          <a:xfrm>
                            <a:off x="1495489" y="65566"/>
                            <a:ext cx="1350000" cy="313876"/>
                          </a:xfrm>
                          <a:prstGeom prst="rect">
                            <a:avLst/>
                          </a:prstGeom>
                          <a:solidFill>
                            <a:srgbClr val="FF6600"/>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5ED24D5F"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wps:txbx>
                        <wps:bodyPr spcFirstLastPara="0" vert="horz" wrap="square" lIns="72082" tIns="72082" rIns="72082" bIns="72082" numCol="1" spcCol="1270" anchor="ctr" anchorCtr="0">
                          <a:noAutofit/>
                        </wps:bodyPr>
                      </wps:wsp>
                      <wps:wsp>
                        <wps:cNvPr id="1559918739" name="Rectangle 1559918739">
                          <a:extLst>
                            <a:ext uri="{FF2B5EF4-FFF2-40B4-BE49-F238E27FC236}">
                              <a16:creationId xmlns:a16="http://schemas.microsoft.com/office/drawing/2014/main" id="{EDA65DB5-5931-73D2-9402-82CD817D969E}"/>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4EF2ED2"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g:wgp>
                  </a:graphicData>
                </a:graphic>
              </wp:anchor>
            </w:drawing>
          </mc:Choice>
          <mc:Fallback>
            <w:pict>
              <v:group w14:anchorId="62147117" id="Group 3" o:spid="_x0000_s1043" style="position:absolute;margin-left:0;margin-top:7.3pt;width:233.6pt;height:35.05pt;z-index:251659264;mso-position-horizontal-relative:text;mso-position-vertical-relative:text"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">
                <v:rect id="Rectangle 1800479785" o:spid="_x0000_s1044"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" fillcolor="#dbebea" strokecolor="#0c1615 [484]" strokeweight=".25pt"/>
                <v:rect id="Rectangle 99334398" o:spid="_x0000_s1045"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" fillcolor="#f60" strokecolor="white [3212]" strokeweight=".25pt">
                  <v:textbox inset="2.00228mm,2.00228mm,2.00228mm,2.00228mm">
                    <w:txbxContent>
                      <w:p w14:paraId="5ED24D5F" w14:textId="77777777" w:rsidR="003B33E1" w:rsidRDefault="003B33E1" w:rsidP="003B33E1">
                        <w:pPr>
                          <w:spacing w:after="92" w:line="216" w:lineRule="auto"/>
                          <w:jc w:val="center"/>
                          <w:rPr>
                            <w:rFonts w:hAnsi="Aptos"/>
                            <w:b/>
                            <w:bCs/>
                            <w:color w:val="FFFFFF" w:themeColor="light1"/>
                            <w:kern w:val="24"/>
                            <w:sz w:val="22"/>
                            <w:szCs w:val="22"/>
                          </w:rPr>
                        </w:pPr>
                        <w:r>
                          <w:rPr>
                            <w:rFonts w:hAnsi="Aptos"/>
                            <w:b/>
                            <w:bCs/>
                            <w:color w:val="FFFFFF" w:themeColor="light1"/>
                            <w:kern w:val="24"/>
                            <w:sz w:val="22"/>
                            <w:szCs w:val="22"/>
                          </w:rPr>
                          <w:t>Significant</w:t>
                        </w:r>
                      </w:p>
                    </w:txbxContent>
                  </v:textbox>
                </v:rect>
                <v:rect id="Rectangle 1559918739" o:spid="_x0000_s1046"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" fillcolor="#47928d" strokecolor="white [3212]" strokeweight=".25pt">
                  <v:textbox inset="2.00228mm,2.00228mm,2.00228mm,2.00228mm">
                    <w:txbxContent>
                      <w:p w14:paraId="44EF2ED2"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group>
            </w:pict>
          </mc:Fallback>
        </mc:AlternateContent>
      </w:r>
    </w:p>
    <w:p w14:paraId="42F3BAEE" w14:textId="77777777" w:rsidR="003B33E1" w:rsidRPr="009E6CE3" w:rsidRDefault="003B33E1" w:rsidP="003B33E1">
      <w:pPr>
        <w:rPr>
          <w:lang w:val="en-GB" w:eastAsia="en-US"/>
        </w:rPr>
      </w:pPr>
    </w:p>
    <w:p w14:paraId="1B57230A" w14:textId="77777777" w:rsidR="003B33E1" w:rsidRPr="009E6CE3" w:rsidRDefault="003B33E1" w:rsidP="003B33E1">
      <w:pPr>
        <w:rPr>
          <w:lang w:val="en-GB"/>
        </w:rPr>
      </w:pPr>
      <w:r w:rsidRPr="009E6CE3">
        <w:rPr>
          <w:lang w:val="en-GB"/>
        </w:rPr>
        <w:t>Across the region climate-related disruption could increase food prices, restrict access to some foods and reduce dietary quality. Consequences could be particularly serious for low-income households, families with children and people with existing health or access needs, but available local evidence does not demonstrate that a region-wide food-system failure is likely.</w:t>
      </w:r>
    </w:p>
    <w:p w14:paraId="78E803A8" w14:textId="79D1165C" w:rsidR="003B33E1" w:rsidRPr="009E6CE3" w:rsidRDefault="003B33E1" w:rsidP="003B33E1">
      <w:pPr>
        <w:rPr>
          <w:lang w:val="en-GB"/>
        </w:rPr>
      </w:pPr>
      <w:r w:rsidRPr="009E6CE3">
        <w:rPr>
          <w:lang w:val="en-GB"/>
        </w:rPr>
        <w:t>National evidence shows that food-secure households declined from 92% in the financial year ending 2020 to 90% in 2023. Yorkshire and the Humber had 88% food-secure households in 2023.</w:t>
      </w:r>
      <w:r w:rsidRPr="009E6CE3">
        <w:rPr>
          <w:vertAlign w:val="superscript"/>
          <w:lang w:val="en-GB"/>
        </w:rPr>
        <w:fldChar w:fldCharType="begin"/>
      </w:r>
      <w:r w:rsidRPr="009E6CE3">
        <w:rPr>
          <w:vertAlign w:val="superscript"/>
          <w:lang w:val="en-GB"/>
        </w:rPr>
        <w:instrText xml:space="preserve"> NOTEREF _Ref241005358 \h  \* MERGEFORMAT </w:instrText>
      </w:r>
      <w:r w:rsidRPr="009E6CE3">
        <w:rPr>
          <w:vertAlign w:val="superscript"/>
          <w:lang w:val="en-GB"/>
        </w:rPr>
      </w:r>
      <w:r w:rsidRPr="009E6CE3">
        <w:rPr>
          <w:vertAlign w:val="superscript"/>
          <w:lang w:val="en-GB"/>
        </w:rPr>
        <w:fldChar w:fldCharType="separate"/>
      </w:r>
      <w:r w:rsidR="006554BD">
        <w:rPr>
          <w:vertAlign w:val="superscript"/>
          <w:lang w:val="en-GB"/>
        </w:rPr>
        <w:t>4</w:t>
      </w:r>
      <w:r w:rsidRPr="009E6CE3">
        <w:rPr>
          <w:vertAlign w:val="superscript"/>
          <w:lang w:val="en-GB"/>
        </w:rPr>
        <w:fldChar w:fldCharType="end"/>
      </w:r>
      <w:r w:rsidRPr="009E6CE3">
        <w:rPr>
          <w:vertAlign w:val="superscript"/>
          <w:lang w:val="en-GB"/>
        </w:rPr>
        <w:t xml:space="preserve"> </w:t>
      </w:r>
      <w:r w:rsidRPr="009E6CE3">
        <w:rPr>
          <w:lang w:val="en-GB"/>
        </w:rPr>
        <w:t>Low-income households, households with children and households including disabled adults had lower levels of food security.  Climate change could intensify these existing pressures because extreme weather affects domestic and overseas production and can pass through supply chains as higher prices. The Fourth Climate Change Risk Assessment notes that these costs would be hardest for households that already spend a large share of their income on food.</w:t>
      </w:r>
      <w:r>
        <w:rPr>
          <w:lang w:val="en-GB"/>
        </w:rPr>
        <w:fldChar w:fldCharType="begin"/>
      </w:r>
      <w:r>
        <w:rPr>
          <w:lang w:val="en-GB"/>
        </w:rPr>
        <w:instrText xml:space="preserve"> NOTEREF _Ref241052972 \f \h </w:instrText>
      </w:r>
      <w:r>
        <w:rPr>
          <w:lang w:val="en-GB"/>
        </w:rPr>
      </w:r>
      <w:r>
        <w:rPr>
          <w:lang w:val="en-GB"/>
        </w:rPr>
        <w:fldChar w:fldCharType="separate"/>
      </w:r>
      <w:r w:rsidR="006554BD" w:rsidRPr="006554BD">
        <w:rPr>
          <w:rStyle w:val="FootnoteReference"/>
        </w:rPr>
        <w:t>3</w:t>
      </w:r>
      <w:r>
        <w:rPr>
          <w:lang w:val="en-GB"/>
        </w:rPr>
        <w:fldChar w:fldCharType="end"/>
      </w:r>
    </w:p>
    <w:p w14:paraId="77E139BE" w14:textId="77777777" w:rsidR="003B33E1" w:rsidRPr="009E6CE3" w:rsidRDefault="003B33E1" w:rsidP="003B33E1">
      <w:pPr>
        <w:rPr>
          <w:lang w:val="en-GB"/>
        </w:rPr>
      </w:pPr>
      <w:r w:rsidRPr="009E6CE3">
        <w:rPr>
          <w:lang w:val="en-GB"/>
        </w:rPr>
        <w:t>Local evidence illustrates the present sensitivity. Calderdale reported more than 12,000 food parcels, over 23,000 community meals and nearly 5,000 affordable-food shops between January and September 2025, although the reporting did not cover all provision.</w:t>
      </w:r>
      <w:r w:rsidRPr="009E6CE3">
        <w:rPr>
          <w:rStyle w:val="FootnoteReference"/>
          <w:lang w:val="en-GB"/>
        </w:rPr>
        <w:footnoteReference w:id="10"/>
      </w:r>
      <w:r w:rsidRPr="009E6CE3">
        <w:rPr>
          <w:lang w:val="en-GB"/>
        </w:rPr>
        <w:t xml:space="preserve">  Leeds City Council also states that reliance on food banks and pantries has risen in recent years and that the long-term response must address poverty and financial security as well as emergency provision.</w:t>
      </w:r>
      <w:bookmarkStart w:id="4" w:name="_Ref241006692"/>
      <w:r w:rsidRPr="009E6CE3">
        <w:rPr>
          <w:rStyle w:val="FootnoteReference"/>
          <w:lang w:val="en-GB"/>
        </w:rPr>
        <w:footnoteReference w:id="11"/>
      </w:r>
      <w:bookmarkEnd w:id="4"/>
      <w:r w:rsidRPr="009E6CE3">
        <w:rPr>
          <w:lang w:val="en-GB"/>
        </w:rPr>
        <w:t xml:space="preserve">  These figures and statements </w:t>
      </w:r>
      <w:r w:rsidRPr="009E6CE3">
        <w:rPr>
          <w:lang w:val="en-GB"/>
        </w:rPr>
        <w:lastRenderedPageBreak/>
        <w:t xml:space="preserve">mainly reflect poverty and the cost of living. They demonstrate limited household financial buffers, not impacts caused solely by climate change. </w:t>
      </w:r>
    </w:p>
    <w:p w14:paraId="167115A7" w14:textId="77777777" w:rsidR="003B33E1" w:rsidRPr="009E6CE3" w:rsidRDefault="003B33E1" w:rsidP="003B33E1">
      <w:pPr>
        <w:rPr>
          <w:lang w:val="en-GB"/>
        </w:rPr>
      </w:pPr>
      <w:r w:rsidRPr="009E6CE3">
        <w:rPr>
          <w:lang w:val="en-GB"/>
        </w:rPr>
        <w:t>Community stakeholders from Wakefield engaged in this analysis identified food poverty and limited access to fresh food as an important indirect climate risk.</w:t>
      </w:r>
      <w:r w:rsidRPr="009E6CE3">
        <w:rPr>
          <w:rStyle w:val="FootnoteReference"/>
          <w:lang w:val="en-GB"/>
        </w:rPr>
        <w:footnoteReference w:id="12"/>
      </w:r>
      <w:r w:rsidRPr="009E6CE3">
        <w:rPr>
          <w:lang w:val="en-GB"/>
        </w:rPr>
        <w:t xml:space="preserve"> They also noted that some households lack the money or space to hold emergency supplies, and that community food organisations may need to expand during shortages. These observations are informed local testimony, but they were not quantified or verified across the region. </w:t>
      </w:r>
    </w:p>
    <w:p w14:paraId="0B58633D" w14:textId="77777777" w:rsidR="003B33E1" w:rsidRPr="009E6CE3" w:rsidRDefault="003B33E1" w:rsidP="003B33E1">
      <w:pPr>
        <w:pStyle w:val="Heading2"/>
      </w:pPr>
      <w:r w:rsidRPr="009E6CE3">
        <w:t>Adaptive Capacity: Existing programmes, plans, policies, budgets and community action</w:t>
      </w:r>
    </w:p>
    <w:p w14:paraId="58E3DE25" w14:textId="77777777" w:rsidR="003B33E1" w:rsidRPr="009E6CE3" w:rsidRDefault="003B33E1" w:rsidP="003B33E1">
      <w:pPr>
        <w:rPr>
          <w:lang w:val="en-GB"/>
        </w:rPr>
      </w:pPr>
      <w:r w:rsidRPr="009E6CE3">
        <w:rPr>
          <w:noProof/>
          <w:lang w:val="en-GB"/>
        </w:rPr>
        <mc:AlternateContent>
          <mc:Choice Requires="wpg">
            <w:drawing>
              <wp:inline distT="0" distB="0" distL="0" distR="0" wp14:anchorId="4919E747" wp14:editId="01CA6317">
                <wp:extent cx="2966594" cy="445008"/>
                <wp:effectExtent l="0" t="0" r="24765" b="12700"/>
                <wp:docPr id="24" name="Group 23">
                  <a:extLst xmlns:a="http://schemas.openxmlformats.org/drawingml/2006/main">
                    <a:ext uri="{FF2B5EF4-FFF2-40B4-BE49-F238E27FC236}">
                      <a16:creationId xmlns:a16="http://schemas.microsoft.com/office/drawing/2014/main" id="{48CCF535-9D22-C284-BD45-8FEAC46468F8}"/>
                    </a:ext>
                  </a:extLst>
                </wp:docPr>
                <wp:cNvGraphicFramePr/>
                <a:graphic xmlns:a="http://schemas.openxmlformats.org/drawingml/2006/main">
                  <a:graphicData uri="http://schemas.microsoft.com/office/word/2010/wordprocessingGroup">
                    <wpg:wgp>
                      <wpg:cNvGrpSpPr/>
                      <wpg:grpSpPr>
                        <a:xfrm>
                          <a:off x="0" y="0"/>
                          <a:ext cx="2966594" cy="445008"/>
                          <a:chOff x="0" y="0"/>
                          <a:chExt cx="2966594" cy="445008"/>
                        </a:xfrm>
                      </wpg:grpSpPr>
                      <wps:wsp>
                        <wps:cNvPr id="21215504" name="Rectangle 21215504">
                          <a:extLst>
                            <a:ext uri="{FF2B5EF4-FFF2-40B4-BE49-F238E27FC236}">
                              <a16:creationId xmlns:a16="http://schemas.microsoft.com/office/drawing/2014/main" id="{62689F8B-47DA-4391-DF54-469708618F06}"/>
                            </a:ext>
                          </a:extLst>
                        </wps:cNvPr>
                        <wps:cNvSpPr/>
                        <wps:spPr>
                          <a:xfrm>
                            <a:off x="0" y="0"/>
                            <a:ext cx="2966594" cy="445008"/>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027525004" name="Rectangle 2027525004">
                          <a:extLst>
                            <a:ext uri="{FF2B5EF4-FFF2-40B4-BE49-F238E27FC236}">
                              <a16:creationId xmlns:a16="http://schemas.microsoft.com/office/drawing/2014/main" id="{C92C7ABF-E276-487F-B2A5-51EC9B9D300C}"/>
                            </a:ext>
                          </a:extLst>
                        </wps:cNvPr>
                        <wps:cNvSpPr/>
                        <wps:spPr>
                          <a:xfrm>
                            <a:off x="1495489" y="65566"/>
                            <a:ext cx="1350000" cy="313876"/>
                          </a:xfrm>
                          <a:prstGeom prst="rect">
                            <a:avLst/>
                          </a:prstGeom>
                          <a:solidFill>
                            <a:srgbClr val="FFCC66"/>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26E40B0D" w14:textId="77777777" w:rsidR="003B33E1" w:rsidRDefault="003B33E1" w:rsidP="003B33E1">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wps:txbx>
                        <wps:bodyPr spcFirstLastPara="0" vert="horz" wrap="square" lIns="72082" tIns="72082" rIns="72082" bIns="72082" numCol="1" spcCol="1270" anchor="ctr" anchorCtr="0">
                          <a:noAutofit/>
                        </wps:bodyPr>
                      </wps:wsp>
                      <wps:wsp>
                        <wps:cNvPr id="441376926" name="Rectangle 441376926">
                          <a:extLst>
                            <a:ext uri="{FF2B5EF4-FFF2-40B4-BE49-F238E27FC236}">
                              <a16:creationId xmlns:a16="http://schemas.microsoft.com/office/drawing/2014/main" id="{4B298F21-1ABD-91F1-8C70-D2D3DB624596}"/>
                            </a:ext>
                          </a:extLst>
                        </wps:cNvPr>
                        <wps:cNvSpPr/>
                        <wps:spPr>
                          <a:xfrm>
                            <a:off x="103405" y="65566"/>
                            <a:ext cx="1351381" cy="3138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1588C69F" w14:textId="77777777" w:rsidR="003B33E1" w:rsidRDefault="003B33E1" w:rsidP="003B33E1">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919E747" id="Group 23" o:spid="_x0000_s1047" style="width:233.6pt;height:35.05pt;mso-position-horizontal-relative:char;mso-position-vertical-relative:line" coordsize="29665,4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">
                <v:rect id="Rectangle 21215504" o:spid="_x0000_s1048" style="position:absolute;width:29665;height:44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" fillcolor="#dbebea" strokecolor="#0c1615 [484]" strokeweight=".25pt"/>
                <v:rect id="Rectangle 2027525004" o:spid="_x0000_s1049" style="position:absolute;left:14954;top:655;width:13500;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" fillcolor="#fc6" strokecolor="white [3212]" strokeweight=".25pt">
                  <v:textbox inset="2.00228mm,2.00228mm,2.00228mm,2.00228mm">
                    <w:txbxContent>
                      <w:p w14:paraId="26E40B0D" w14:textId="77777777" w:rsidR="003B33E1" w:rsidRDefault="003B33E1" w:rsidP="003B33E1">
                        <w:pPr>
                          <w:spacing w:after="92" w:line="216" w:lineRule="auto"/>
                          <w:jc w:val="center"/>
                          <w:rPr>
                            <w:rFonts w:hAnsi="Aptos"/>
                            <w:b/>
                            <w:color w:val="000000" w:themeColor="text1"/>
                            <w:kern w:val="24"/>
                            <w:sz w:val="22"/>
                            <w:szCs w:val="22"/>
                          </w:rPr>
                        </w:pPr>
                        <w:r>
                          <w:rPr>
                            <w:rFonts w:hAnsi="Aptos"/>
                            <w:b/>
                            <w:color w:val="000000" w:themeColor="text1"/>
                            <w:kern w:val="24"/>
                            <w:sz w:val="22"/>
                            <w:szCs w:val="22"/>
                          </w:rPr>
                          <w:t>Significant</w:t>
                        </w:r>
                      </w:p>
                    </w:txbxContent>
                  </v:textbox>
                </v:rect>
                <v:rect id="Rectangle 441376926" o:spid="_x0000_s1050" style="position:absolute;left:1034;top:655;width:13513;height:31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" fillcolor="#47928d" strokecolor="white [3212]" strokeweight=".25pt">
                  <v:textbox inset="2.00228mm,2.00228mm,2.00228mm,2.00228mm">
                    <w:txbxContent>
                      <w:p w14:paraId="1588C69F" w14:textId="77777777" w:rsidR="003B33E1" w:rsidRDefault="003B33E1" w:rsidP="003B33E1">
                        <w:pPr>
                          <w:spacing w:after="92" w:line="216" w:lineRule="auto"/>
                          <w:jc w:val="center"/>
                          <w:rPr>
                            <w:rFonts w:hAnsi="Aptos"/>
                            <w:b/>
                            <w:color w:val="FFFFFF" w:themeColor="background1"/>
                            <w:kern w:val="24"/>
                            <w:sz w:val="22"/>
                            <w:szCs w:val="22"/>
                          </w:rPr>
                        </w:pPr>
                        <w:r>
                          <w:rPr>
                            <w:rFonts w:hAnsi="Aptos"/>
                            <w:b/>
                            <w:color w:val="FFFFFF" w:themeColor="background1"/>
                            <w:kern w:val="24"/>
                            <w:sz w:val="22"/>
                            <w:szCs w:val="22"/>
                          </w:rPr>
                          <w:t>Adaptive Capacity</w:t>
                        </w:r>
                      </w:p>
                    </w:txbxContent>
                  </v:textbox>
                </v:rect>
                <w10:anchorlock/>
              </v:group>
            </w:pict>
          </mc:Fallback>
        </mc:AlternateContent>
      </w:r>
    </w:p>
    <w:p w14:paraId="38CE1A1E" w14:textId="77777777" w:rsidR="003B33E1" w:rsidRPr="009E6CE3" w:rsidRDefault="003B33E1" w:rsidP="003B33E1">
      <w:pPr>
        <w:rPr>
          <w:lang w:val="en-GB"/>
        </w:rPr>
      </w:pPr>
      <w:r w:rsidRPr="009E6CE3">
        <w:rPr>
          <w:lang w:val="en-GB"/>
        </w:rPr>
        <w:t>West Yorkshire has established food partnerships, food-aid networks, local authority strategies, redistribution infrastructure, public-health programmes and community growing activity. These provide a substantial foundation for responding to food insecurity. However, much of this capacity addresses poverty, health, sustainability or emergency food aid rather than climate-related disruption explicitly. Coverage, long-term funding and surge capacity remain uncertain.</w:t>
      </w:r>
    </w:p>
    <w:p w14:paraId="55CCC138" w14:textId="77777777" w:rsidR="003B33E1" w:rsidRPr="009E6CE3" w:rsidRDefault="003B33E1" w:rsidP="003B33E1">
      <w:pPr>
        <w:rPr>
          <w:lang w:val="en-GB"/>
        </w:rPr>
      </w:pPr>
      <w:r w:rsidRPr="009E6CE3">
        <w:rPr>
          <w:lang w:val="en-GB"/>
        </w:rPr>
        <w:t>The West Yorkshire Food Poverty Network brings together district networks from Bradford and Keighley, Calderdale, Kirklees, Leeds and Wakefield.</w:t>
      </w:r>
      <w:r w:rsidRPr="009E6CE3">
        <w:rPr>
          <w:rStyle w:val="FootnoteReference"/>
          <w:lang w:val="en-GB"/>
        </w:rPr>
        <w:footnoteReference w:id="13"/>
      </w:r>
      <w:r w:rsidRPr="009E6CE3">
        <w:rPr>
          <w:lang w:val="en-GB"/>
        </w:rPr>
        <w:t xml:space="preserve"> Its work includes coordination between food providers, advice and welfare support, signposting, holiday provision and redistribution through organisations including </w:t>
      </w:r>
      <w:proofErr w:type="spellStart"/>
      <w:r w:rsidRPr="009E6CE3">
        <w:rPr>
          <w:lang w:val="en-GB"/>
        </w:rPr>
        <w:t>FareShare</w:t>
      </w:r>
      <w:proofErr w:type="spellEnd"/>
      <w:r w:rsidRPr="009E6CE3">
        <w:rPr>
          <w:lang w:val="en-GB"/>
        </w:rPr>
        <w:t xml:space="preserve"> Yorkshire.   </w:t>
      </w:r>
    </w:p>
    <w:p w14:paraId="2B1D76C2" w14:textId="77777777" w:rsidR="003B33E1" w:rsidRPr="009E6CE3" w:rsidRDefault="003B33E1" w:rsidP="003B33E1">
      <w:pPr>
        <w:rPr>
          <w:lang w:val="en-GB"/>
        </w:rPr>
      </w:pPr>
      <w:r w:rsidRPr="009E6CE3">
        <w:rPr>
          <w:lang w:val="en-GB"/>
        </w:rPr>
        <w:t>District strategies add capacity:</w:t>
      </w:r>
    </w:p>
    <w:p w14:paraId="2461BC28" w14:textId="77777777" w:rsidR="003B33E1" w:rsidRPr="009E6CE3" w:rsidRDefault="003B33E1" w:rsidP="003B33E1">
      <w:pPr>
        <w:pStyle w:val="ListParagraph"/>
        <w:numPr>
          <w:ilvl w:val="0"/>
          <w:numId w:val="7"/>
        </w:numPr>
        <w:rPr>
          <w:lang w:val="en-GB"/>
        </w:rPr>
      </w:pPr>
      <w:r w:rsidRPr="009E6CE3">
        <w:rPr>
          <w:lang w:val="en-GB"/>
        </w:rPr>
        <w:t>Calderdale’s 2026–34 food strategy is led by Calderdale Food Network and links affordable food, community action, local supply chains, food waste and climate resilience. In 2026 the network received an annual Public Health Grant contribution of £23,300.</w:t>
      </w:r>
      <w:r w:rsidRPr="009E6CE3">
        <w:rPr>
          <w:rStyle w:val="FootnoteReference"/>
          <w:lang w:val="en-GB"/>
        </w:rPr>
        <w:footnoteReference w:id="14"/>
      </w:r>
      <w:r w:rsidRPr="009E6CE3">
        <w:rPr>
          <w:lang w:val="en-GB"/>
        </w:rPr>
        <w:t xml:space="preserve">  </w:t>
      </w:r>
    </w:p>
    <w:p w14:paraId="547C0F8A" w14:textId="13161357" w:rsidR="003B33E1" w:rsidRPr="009E6CE3" w:rsidRDefault="003B33E1" w:rsidP="003B33E1">
      <w:pPr>
        <w:pStyle w:val="ListParagraph"/>
        <w:numPr>
          <w:ilvl w:val="0"/>
          <w:numId w:val="7"/>
        </w:numPr>
        <w:rPr>
          <w:lang w:val="en-GB"/>
        </w:rPr>
      </w:pPr>
      <w:r w:rsidRPr="009E6CE3">
        <w:rPr>
          <w:lang w:val="en-GB"/>
        </w:rPr>
        <w:t xml:space="preserve">Leeds has a food strategy, an established Food Aid Network and partnerships with </w:t>
      </w:r>
      <w:proofErr w:type="spellStart"/>
      <w:r w:rsidRPr="009E6CE3">
        <w:rPr>
          <w:lang w:val="en-GB"/>
        </w:rPr>
        <w:t>FareShare</w:t>
      </w:r>
      <w:proofErr w:type="spellEnd"/>
      <w:r w:rsidRPr="009E6CE3">
        <w:rPr>
          <w:lang w:val="en-GB"/>
        </w:rPr>
        <w:t xml:space="preserve"> Yorkshire, Rethink Food and </w:t>
      </w:r>
      <w:proofErr w:type="spellStart"/>
      <w:r w:rsidRPr="009E6CE3">
        <w:rPr>
          <w:lang w:val="en-GB"/>
        </w:rPr>
        <w:t>FoodWise</w:t>
      </w:r>
      <w:proofErr w:type="spellEnd"/>
      <w:r w:rsidRPr="009E6CE3">
        <w:rPr>
          <w:lang w:val="en-GB"/>
        </w:rPr>
        <w:t xml:space="preserve"> Leeds. Planned actions include improving access to healthy food, linking food providers to wider advice services and supporting local food businesses and markets.</w:t>
      </w:r>
      <w:r w:rsidRPr="009E6CE3">
        <w:rPr>
          <w:vertAlign w:val="superscript"/>
          <w:lang w:val="en-GB"/>
        </w:rPr>
        <w:fldChar w:fldCharType="begin"/>
      </w:r>
      <w:r w:rsidRPr="009E6CE3">
        <w:rPr>
          <w:vertAlign w:val="superscript"/>
          <w:lang w:val="en-GB"/>
        </w:rPr>
        <w:instrText xml:space="preserve"> NOTEREF _Ref241006692 \h  \* MERGEFORMAT </w:instrText>
      </w:r>
      <w:r w:rsidRPr="009E6CE3">
        <w:rPr>
          <w:vertAlign w:val="superscript"/>
          <w:lang w:val="en-GB"/>
        </w:rPr>
      </w:r>
      <w:r w:rsidRPr="009E6CE3">
        <w:rPr>
          <w:vertAlign w:val="superscript"/>
          <w:lang w:val="en-GB"/>
        </w:rPr>
        <w:fldChar w:fldCharType="separate"/>
      </w:r>
      <w:r w:rsidR="006554BD">
        <w:rPr>
          <w:vertAlign w:val="superscript"/>
          <w:lang w:val="en-GB"/>
        </w:rPr>
        <w:t>11</w:t>
      </w:r>
      <w:r w:rsidRPr="009E6CE3">
        <w:rPr>
          <w:vertAlign w:val="superscript"/>
          <w:lang w:val="en-GB"/>
        </w:rPr>
        <w:fldChar w:fldCharType="end"/>
      </w:r>
    </w:p>
    <w:p w14:paraId="366D0623" w14:textId="3A43D1C5" w:rsidR="003B33E1" w:rsidRPr="009E6CE3" w:rsidRDefault="003B33E1" w:rsidP="003B33E1">
      <w:pPr>
        <w:pStyle w:val="ListParagraph"/>
        <w:numPr>
          <w:ilvl w:val="0"/>
          <w:numId w:val="7"/>
        </w:numPr>
        <w:rPr>
          <w:lang w:val="en-GB"/>
        </w:rPr>
      </w:pPr>
      <w:r w:rsidRPr="009E6CE3">
        <w:rPr>
          <w:lang w:val="en-GB"/>
        </w:rPr>
        <w:t xml:space="preserve">Wakefield has a Good Food Partnership and a network of food banks, pantries and hot-food schemes. Its Joint Strategic Needs Assessment also recognises </w:t>
      </w:r>
      <w:r w:rsidRPr="009E6CE3">
        <w:rPr>
          <w:lang w:val="en-GB"/>
        </w:rPr>
        <w:lastRenderedPageBreak/>
        <w:t>that climate change could disrupt production and distribution, raise prices and affect vulnerable groups disproportionately.</w:t>
      </w:r>
      <w:r w:rsidRPr="009E6CE3">
        <w:rPr>
          <w:vertAlign w:val="superscript"/>
          <w:lang w:val="en-GB"/>
        </w:rPr>
        <w:fldChar w:fldCharType="begin"/>
      </w:r>
      <w:r w:rsidRPr="009E6CE3">
        <w:rPr>
          <w:vertAlign w:val="superscript"/>
          <w:lang w:val="en-GB"/>
        </w:rPr>
        <w:instrText xml:space="preserve"> NOTEREF _Ref241006717 \h  \* MERGEFORMAT </w:instrText>
      </w:r>
      <w:r w:rsidRPr="009E6CE3">
        <w:rPr>
          <w:vertAlign w:val="superscript"/>
          <w:lang w:val="en-GB"/>
        </w:rPr>
      </w:r>
      <w:r w:rsidRPr="009E6CE3">
        <w:rPr>
          <w:vertAlign w:val="superscript"/>
          <w:lang w:val="en-GB"/>
        </w:rPr>
        <w:fldChar w:fldCharType="separate"/>
      </w:r>
      <w:r w:rsidR="006554BD">
        <w:rPr>
          <w:vertAlign w:val="superscript"/>
          <w:lang w:val="en-GB"/>
        </w:rPr>
        <w:t>7</w:t>
      </w:r>
      <w:r w:rsidRPr="009E6CE3">
        <w:rPr>
          <w:vertAlign w:val="superscript"/>
          <w:lang w:val="en-GB"/>
        </w:rPr>
        <w:fldChar w:fldCharType="end"/>
      </w:r>
      <w:r w:rsidRPr="009E6CE3">
        <w:rPr>
          <w:vertAlign w:val="superscript"/>
          <w:lang w:val="en-GB"/>
        </w:rPr>
        <w:t xml:space="preserve"> </w:t>
      </w:r>
    </w:p>
    <w:p w14:paraId="0F9140DD" w14:textId="77777777" w:rsidR="003B33E1" w:rsidRPr="009E6CE3" w:rsidRDefault="003B33E1" w:rsidP="003B33E1">
      <w:pPr>
        <w:pStyle w:val="ListParagraph"/>
        <w:numPr>
          <w:ilvl w:val="0"/>
          <w:numId w:val="7"/>
        </w:numPr>
        <w:rPr>
          <w:lang w:val="en-GB"/>
        </w:rPr>
      </w:pPr>
      <w:r w:rsidRPr="009E6CE3">
        <w:rPr>
          <w:lang w:val="en-GB"/>
        </w:rPr>
        <w:t>Bradford’s climate plan identifies its Good Food Strategy, Sustainable Food Partnership, allotment expansion and community growing initiatives, including food-growing kits and micro-orchards.</w:t>
      </w:r>
      <w:r w:rsidRPr="009E6CE3">
        <w:rPr>
          <w:rStyle w:val="FootnoteReference"/>
          <w:lang w:val="en-GB"/>
        </w:rPr>
        <w:footnoteReference w:id="15"/>
      </w:r>
    </w:p>
    <w:p w14:paraId="52721116" w14:textId="77777777" w:rsidR="003B33E1" w:rsidRPr="009E6CE3" w:rsidRDefault="003B33E1" w:rsidP="003B33E1">
      <w:pPr>
        <w:rPr>
          <w:lang w:val="en-GB"/>
        </w:rPr>
      </w:pPr>
      <w:r w:rsidRPr="009E6CE3">
        <w:rPr>
          <w:lang w:val="en-GB"/>
        </w:rPr>
        <w:t>Important gaps remain.  Current evidence does not identify a West Yorkshire-wide climate food-security plan, quantified emergency food capacity, dedicated regional budget, formal supply-chain stress test or agreed arrangements for prolonged disruption. West Yorkshire does have various emergency and community-response arrangements (for example West Yorkshire Prepared supports communities to plan for incidents including flooding, severe weather and power outages, with food and drink included among the practical needs to consider). However, available evidence does not identify dedicated food-security plans, emergency stock levels, distribution arrangements or tested surge capacity for a prolonged regional disruption.</w:t>
      </w:r>
    </w:p>
    <w:p w14:paraId="7D0658AC" w14:textId="77777777" w:rsidR="003B33E1" w:rsidRPr="009E6CE3" w:rsidRDefault="003B33E1" w:rsidP="003B33E1">
      <w:pPr>
        <w:rPr>
          <w:lang w:val="en-GB"/>
        </w:rPr>
      </w:pPr>
    </w:p>
    <w:p w14:paraId="7784BCF6" w14:textId="77777777" w:rsidR="003B33E1" w:rsidRPr="009E6CE3" w:rsidRDefault="003B33E1" w:rsidP="003B33E1">
      <w:pPr>
        <w:rPr>
          <w:lang w:val="en-GB"/>
        </w:rPr>
      </w:pPr>
    </w:p>
    <w:p w14:paraId="3A521A96" w14:textId="77777777" w:rsidR="003B33E1" w:rsidRPr="009E6CE3" w:rsidRDefault="003B33E1" w:rsidP="003B33E1">
      <w:pPr>
        <w:rPr>
          <w:rFonts w:asciiTheme="majorHAnsi" w:eastAsiaTheme="majorEastAsia" w:hAnsiTheme="majorHAnsi" w:cstheme="majorBidi"/>
          <w:color w:val="3E706C" w:themeColor="accent1" w:themeShade="BF"/>
          <w:kern w:val="2"/>
          <w:sz w:val="40"/>
          <w:szCs w:val="40"/>
          <w:lang w:val="en-GB" w:eastAsia="en-US"/>
          <w14:ligatures w14:val="standardContextual"/>
        </w:rPr>
      </w:pPr>
      <w:r w:rsidRPr="009E6CE3">
        <w:rPr>
          <w:lang w:val="en-GB"/>
        </w:rPr>
        <w:br w:type="page"/>
      </w:r>
    </w:p>
    <w:p w14:paraId="7AD2B1A6" w14:textId="77777777" w:rsidR="003B33E1" w:rsidRPr="009E6CE3" w:rsidRDefault="003B33E1" w:rsidP="003B33E1">
      <w:pPr>
        <w:pStyle w:val="Heading1"/>
      </w:pPr>
      <w:bookmarkStart w:id="5" w:name="_Ref240961110"/>
      <w:r w:rsidRPr="009E6CE3">
        <w:lastRenderedPageBreak/>
        <w:t>Annex: Scoring Matrix</w:t>
      </w:r>
      <w:bookmarkEnd w:id="5"/>
    </w:p>
    <w:p w14:paraId="7FF6203E" w14:textId="77777777" w:rsidR="003B33E1" w:rsidRPr="009E6CE3" w:rsidRDefault="003B33E1" w:rsidP="003B33E1">
      <w:pPr>
        <w:rPr>
          <w:lang w:val="en-GB"/>
        </w:rPr>
      </w:pPr>
      <w:r w:rsidRPr="009E6CE3">
        <w:rPr>
          <w:lang w:val="en-GB"/>
        </w:rPr>
        <w:t>The scoring methodology uses the following formula to calculate overall vulnerability for each risk/opportunity area.</w:t>
      </w:r>
    </w:p>
    <w:p w14:paraId="203FDCF1" w14:textId="77777777" w:rsidR="003B33E1" w:rsidRPr="009E6CE3" w:rsidRDefault="003B33E1" w:rsidP="003B33E1">
      <w:pPr>
        <w:rPr>
          <w:lang w:val="en-GB"/>
        </w:rPr>
      </w:pPr>
      <w:r w:rsidRPr="009E6CE3">
        <w:rPr>
          <w:noProof/>
          <w:lang w:val="en-GB"/>
        </w:rPr>
        <mc:AlternateContent>
          <mc:Choice Requires="wpg">
            <w:drawing>
              <wp:inline distT="0" distB="0" distL="0" distR="0" wp14:anchorId="4C482A18" wp14:editId="0783B22B">
                <wp:extent cx="5555226" cy="812990"/>
                <wp:effectExtent l="0" t="0" r="26670" b="25400"/>
                <wp:docPr id="66" name="Group 65">
                  <a:extLst xmlns:a="http://schemas.openxmlformats.org/drawingml/2006/main">
                    <a:ext uri="{FF2B5EF4-FFF2-40B4-BE49-F238E27FC236}">
                      <a16:creationId xmlns:a16="http://schemas.microsoft.com/office/drawing/2014/main" id="{A00B9FCA-1514-6A3D-63A3-7AE94BE43123}"/>
                    </a:ext>
                  </a:extLst>
                </wp:docPr>
                <wp:cNvGraphicFramePr/>
                <a:graphic xmlns:a="http://schemas.openxmlformats.org/drawingml/2006/main">
                  <a:graphicData uri="http://schemas.microsoft.com/office/word/2010/wordprocessingGroup">
                    <wpg:wgp>
                      <wpg:cNvGrpSpPr/>
                      <wpg:grpSpPr>
                        <a:xfrm>
                          <a:off x="0" y="0"/>
                          <a:ext cx="5555226" cy="812990"/>
                          <a:chOff x="0" y="0"/>
                          <a:chExt cx="5555226" cy="812990"/>
                        </a:xfrm>
                      </wpg:grpSpPr>
                      <wps:wsp>
                        <wps:cNvPr id="908785896" name="Rectangle 908785896">
                          <a:extLst>
                            <a:ext uri="{FF2B5EF4-FFF2-40B4-BE49-F238E27FC236}">
                              <a16:creationId xmlns:a16="http://schemas.microsoft.com/office/drawing/2014/main" id="{D5EED331-1BFC-9DCE-B3D3-C4FDF5DBEBAC}"/>
                            </a:ext>
                          </a:extLst>
                        </wps:cNvPr>
                        <wps:cNvSpPr/>
                        <wps:spPr>
                          <a:xfrm>
                            <a:off x="0" y="0"/>
                            <a:ext cx="5555226" cy="812990"/>
                          </a:xfrm>
                          <a:prstGeom prst="rect">
                            <a:avLst/>
                          </a:prstGeom>
                          <a:solidFill>
                            <a:srgbClr val="DBEBEA"/>
                          </a:solidFill>
                          <a:ln w="3175"/>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233195421" name="Freeform: Shape 233195421">
                          <a:extLst>
                            <a:ext uri="{FF2B5EF4-FFF2-40B4-BE49-F238E27FC236}">
                              <a16:creationId xmlns:a16="http://schemas.microsoft.com/office/drawing/2014/main" id="{4446F68B-A691-95BE-D48F-39A00D15E5EA}"/>
                            </a:ext>
                          </a:extLst>
                        </wps:cNvPr>
                        <wps:cNvSpPr/>
                        <wps:spPr>
                          <a:xfrm>
                            <a:off x="1109171" y="175293"/>
                            <a:ext cx="462404" cy="462404"/>
                          </a:xfrm>
                          <a:custGeom>
                            <a:avLst/>
                            <a:gdLst>
                              <a:gd name="csX0" fmla="*/ 85519 w 645180"/>
                              <a:gd name="csY0" fmla="*/ 246717 h 645180"/>
                              <a:gd name="csX1" fmla="*/ 246717 w 645180"/>
                              <a:gd name="csY1" fmla="*/ 246717 h 645180"/>
                              <a:gd name="csX2" fmla="*/ 246717 w 645180"/>
                              <a:gd name="csY2" fmla="*/ 85519 h 645180"/>
                              <a:gd name="csX3" fmla="*/ 398463 w 645180"/>
                              <a:gd name="csY3" fmla="*/ 85519 h 645180"/>
                              <a:gd name="csX4" fmla="*/ 398463 w 645180"/>
                              <a:gd name="csY4" fmla="*/ 246717 h 645180"/>
                              <a:gd name="csX5" fmla="*/ 559661 w 645180"/>
                              <a:gd name="csY5" fmla="*/ 246717 h 645180"/>
                              <a:gd name="csX6" fmla="*/ 559661 w 645180"/>
                              <a:gd name="csY6" fmla="*/ 398463 h 645180"/>
                              <a:gd name="csX7" fmla="*/ 398463 w 645180"/>
                              <a:gd name="csY7" fmla="*/ 398463 h 645180"/>
                              <a:gd name="csX8" fmla="*/ 398463 w 645180"/>
                              <a:gd name="csY8" fmla="*/ 559661 h 645180"/>
                              <a:gd name="csX9" fmla="*/ 246717 w 645180"/>
                              <a:gd name="csY9" fmla="*/ 559661 h 645180"/>
                              <a:gd name="csX10" fmla="*/ 246717 w 645180"/>
                              <a:gd name="csY10" fmla="*/ 398463 h 645180"/>
                              <a:gd name="csX11" fmla="*/ 85519 w 645180"/>
                              <a:gd name="csY11" fmla="*/ 398463 h 645180"/>
                              <a:gd name="csX12" fmla="*/ 85519 w 645180"/>
                              <a:gd name="csY12" fmla="*/ 24671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645180" h="645180">
                                <a:moveTo>
                                  <a:pt x="85519" y="246717"/>
                                </a:moveTo>
                                <a:lnTo>
                                  <a:pt x="246717" y="246717"/>
                                </a:lnTo>
                                <a:lnTo>
                                  <a:pt x="246717" y="85519"/>
                                </a:lnTo>
                                <a:lnTo>
                                  <a:pt x="398463" y="85519"/>
                                </a:lnTo>
                                <a:lnTo>
                                  <a:pt x="398463" y="246717"/>
                                </a:lnTo>
                                <a:lnTo>
                                  <a:pt x="559661" y="246717"/>
                                </a:lnTo>
                                <a:lnTo>
                                  <a:pt x="559661" y="398463"/>
                                </a:lnTo>
                                <a:lnTo>
                                  <a:pt x="398463" y="398463"/>
                                </a:lnTo>
                                <a:lnTo>
                                  <a:pt x="398463" y="559661"/>
                                </a:lnTo>
                                <a:lnTo>
                                  <a:pt x="246717" y="559661"/>
                                </a:lnTo>
                                <a:lnTo>
                                  <a:pt x="246717"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538539861" name="Freeform: Shape 538539861">
                          <a:extLst>
                            <a:ext uri="{FF2B5EF4-FFF2-40B4-BE49-F238E27FC236}">
                              <a16:creationId xmlns:a16="http://schemas.microsoft.com/office/drawing/2014/main" id="{7610F756-905C-2013-1835-A5E2C1E95B84}"/>
                            </a:ext>
                          </a:extLst>
                        </wps:cNvPr>
                        <wps:cNvSpPr/>
                        <wps:spPr>
                          <a:xfrm>
                            <a:off x="2561719" y="175293"/>
                            <a:ext cx="462404" cy="462404"/>
                          </a:xfrm>
                          <a:custGeom>
                            <a:avLst/>
                            <a:gdLst>
                              <a:gd name="csX0" fmla="*/ 85519 w 645180"/>
                              <a:gd name="csY0" fmla="*/ 246717 h 645180"/>
                              <a:gd name="csX1" fmla="*/ 559661 w 645180"/>
                              <a:gd name="csY1" fmla="*/ 246717 h 645180"/>
                              <a:gd name="csX2" fmla="*/ 559661 w 645180"/>
                              <a:gd name="csY2" fmla="*/ 398463 h 645180"/>
                              <a:gd name="csX3" fmla="*/ 85519 w 645180"/>
                              <a:gd name="csY3" fmla="*/ 398463 h 645180"/>
                              <a:gd name="csX4" fmla="*/ 85519 w 645180"/>
                              <a:gd name="csY4" fmla="*/ 246717 h 645180"/>
                            </a:gdLst>
                            <a:ahLst/>
                            <a:cxnLst>
                              <a:cxn ang="0">
                                <a:pos x="csX0" y="csY0"/>
                              </a:cxn>
                              <a:cxn ang="0">
                                <a:pos x="csX1" y="csY1"/>
                              </a:cxn>
                              <a:cxn ang="0">
                                <a:pos x="csX2" y="csY2"/>
                              </a:cxn>
                              <a:cxn ang="0">
                                <a:pos x="csX3" y="csY3"/>
                              </a:cxn>
                              <a:cxn ang="0">
                                <a:pos x="csX4" y="csY4"/>
                              </a:cxn>
                            </a:cxnLst>
                            <a:rect l="l" t="t" r="r" b="b"/>
                            <a:pathLst>
                              <a:path w="645180" h="645180">
                                <a:moveTo>
                                  <a:pt x="85519" y="246717"/>
                                </a:moveTo>
                                <a:lnTo>
                                  <a:pt x="559661" y="246717"/>
                                </a:lnTo>
                                <a:lnTo>
                                  <a:pt x="559661" y="398463"/>
                                </a:lnTo>
                                <a:lnTo>
                                  <a:pt x="85519" y="398463"/>
                                </a:lnTo>
                                <a:lnTo>
                                  <a:pt x="85519" y="24671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246717" rIns="85519" bIns="246717" numCol="1" spcCol="1270" anchor="ctr" anchorCtr="0">
                          <a:noAutofit/>
                        </wps:bodyPr>
                      </wps:wsp>
                      <wps:wsp>
                        <wps:cNvPr id="1932102927" name="Freeform: Shape 1932102927">
                          <a:extLst>
                            <a:ext uri="{FF2B5EF4-FFF2-40B4-BE49-F238E27FC236}">
                              <a16:creationId xmlns:a16="http://schemas.microsoft.com/office/drawing/2014/main" id="{AD093F38-814B-E925-7DEA-6FAFED9D91FD}"/>
                            </a:ext>
                          </a:extLst>
                        </wps:cNvPr>
                        <wps:cNvSpPr/>
                        <wps:spPr>
                          <a:xfrm>
                            <a:off x="4014266" y="175293"/>
                            <a:ext cx="462404" cy="462404"/>
                          </a:xfrm>
                          <a:custGeom>
                            <a:avLst/>
                            <a:gdLst>
                              <a:gd name="csX0" fmla="*/ 85519 w 645180"/>
                              <a:gd name="csY0" fmla="*/ 132907 h 645180"/>
                              <a:gd name="csX1" fmla="*/ 559661 w 645180"/>
                              <a:gd name="csY1" fmla="*/ 132907 h 645180"/>
                              <a:gd name="csX2" fmla="*/ 559661 w 645180"/>
                              <a:gd name="csY2" fmla="*/ 284653 h 645180"/>
                              <a:gd name="csX3" fmla="*/ 85519 w 645180"/>
                              <a:gd name="csY3" fmla="*/ 284653 h 645180"/>
                              <a:gd name="csX4" fmla="*/ 85519 w 645180"/>
                              <a:gd name="csY4" fmla="*/ 132907 h 645180"/>
                              <a:gd name="csX5" fmla="*/ 85519 w 645180"/>
                              <a:gd name="csY5" fmla="*/ 360527 h 645180"/>
                              <a:gd name="csX6" fmla="*/ 559661 w 645180"/>
                              <a:gd name="csY6" fmla="*/ 360527 h 645180"/>
                              <a:gd name="csX7" fmla="*/ 559661 w 645180"/>
                              <a:gd name="csY7" fmla="*/ 512273 h 645180"/>
                              <a:gd name="csX8" fmla="*/ 85519 w 645180"/>
                              <a:gd name="csY8" fmla="*/ 512273 h 645180"/>
                              <a:gd name="csX9" fmla="*/ 85519 w 645180"/>
                              <a:gd name="csY9" fmla="*/ 360527 h 6451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645180" h="645180">
                                <a:moveTo>
                                  <a:pt x="85519" y="132907"/>
                                </a:moveTo>
                                <a:lnTo>
                                  <a:pt x="559661" y="132907"/>
                                </a:lnTo>
                                <a:lnTo>
                                  <a:pt x="559661" y="284653"/>
                                </a:lnTo>
                                <a:lnTo>
                                  <a:pt x="85519" y="284653"/>
                                </a:lnTo>
                                <a:lnTo>
                                  <a:pt x="85519" y="132907"/>
                                </a:lnTo>
                                <a:close/>
                                <a:moveTo>
                                  <a:pt x="85519" y="360527"/>
                                </a:moveTo>
                                <a:lnTo>
                                  <a:pt x="559661" y="360527"/>
                                </a:lnTo>
                                <a:lnTo>
                                  <a:pt x="559661" y="512273"/>
                                </a:lnTo>
                                <a:lnTo>
                                  <a:pt x="85519" y="512273"/>
                                </a:lnTo>
                                <a:lnTo>
                                  <a:pt x="85519" y="360527"/>
                                </a:lnTo>
                                <a:close/>
                              </a:path>
                            </a:pathLst>
                          </a:custGeom>
                        </wps:spPr>
                        <wps:style>
                          <a:lnRef idx="0">
                            <a:schemeClr val="accent1">
                              <a:tint val="60000"/>
                              <a:hueOff val="0"/>
                              <a:satOff val="0"/>
                              <a:lumOff val="0"/>
                              <a:alphaOff val="0"/>
                            </a:schemeClr>
                          </a:lnRef>
                          <a:fillRef idx="1">
                            <a:schemeClr val="accent1">
                              <a:tint val="60000"/>
                              <a:hueOff val="0"/>
                              <a:satOff val="0"/>
                              <a:lumOff val="0"/>
                              <a:alphaOff val="0"/>
                            </a:schemeClr>
                          </a:fillRef>
                          <a:effectRef idx="0">
                            <a:schemeClr val="accent1">
                              <a:tint val="60000"/>
                              <a:hueOff val="0"/>
                              <a:satOff val="0"/>
                              <a:lumOff val="0"/>
                              <a:alphaOff val="0"/>
                            </a:schemeClr>
                          </a:effectRef>
                          <a:fontRef idx="minor">
                            <a:schemeClr val="lt1"/>
                          </a:fontRef>
                        </wps:style>
                        <wps:bodyPr spcFirstLastPara="0" vert="horz" wrap="square" lIns="85519" tIns="132907" rIns="85519" bIns="132907" numCol="1" spcCol="1270" anchor="ctr" anchorCtr="0">
                          <a:noAutofit/>
                        </wps:bodyPr>
                      </wps:wsp>
                      <wps:wsp>
                        <wps:cNvPr id="290703544" name="Rectangle 290703544">
                          <a:extLst>
                            <a:ext uri="{FF2B5EF4-FFF2-40B4-BE49-F238E27FC236}">
                              <a16:creationId xmlns:a16="http://schemas.microsoft.com/office/drawing/2014/main" id="{701DF5FB-77F2-B92B-CEE4-62315B47D559}"/>
                            </a:ext>
                          </a:extLst>
                        </wps:cNvPr>
                        <wps:cNvSpPr/>
                        <wps:spPr>
                          <a:xfrm>
                            <a:off x="118713" y="153857"/>
                            <a:ext cx="990773"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3B386D85"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wps:txbx>
                        <wps:bodyPr spcFirstLastPara="0" vert="horz" wrap="square" lIns="72082" tIns="72082" rIns="72082" bIns="72082" numCol="1" spcCol="1270" anchor="ctr" anchorCtr="0">
                          <a:noAutofit/>
                        </wps:bodyPr>
                      </wps:wsp>
                      <wps:wsp>
                        <wps:cNvPr id="1647103832" name="Rectangle 1647103832">
                          <a:extLst>
                            <a:ext uri="{FF2B5EF4-FFF2-40B4-BE49-F238E27FC236}">
                              <a16:creationId xmlns:a16="http://schemas.microsoft.com/office/drawing/2014/main" id="{5367C04A-27EF-5B51-3191-B04D0CDC08F7}"/>
                            </a:ext>
                          </a:extLst>
                        </wps:cNvPr>
                        <wps:cNvSpPr/>
                        <wps:spPr>
                          <a:xfrm>
                            <a:off x="1571260" y="153857"/>
                            <a:ext cx="990773" cy="505276"/>
                          </a:xfrm>
                          <a:prstGeom prst="rect">
                            <a:avLst/>
                          </a:prstGeom>
                          <a:solidFill>
                            <a:srgbClr val="47928D"/>
                          </a:solidFill>
                          <a:ln w="3175">
                            <a:solidFill>
                              <a:schemeClr val="bg1"/>
                            </a:solidFill>
                          </a:ln>
                        </wps:spPr>
                        <wps:style>
                          <a:lnRef idx="2">
                            <a:schemeClr val="lt1">
                              <a:hueOff val="0"/>
                              <a:satOff val="0"/>
                              <a:lumOff val="0"/>
                              <a:alphaOff val="0"/>
                            </a:schemeClr>
                          </a:lnRef>
                          <a:fillRef idx="1">
                            <a:schemeClr val="accent1">
                              <a:hueOff val="0"/>
                              <a:satOff val="0"/>
                              <a:lumOff val="0"/>
                              <a:alphaOff val="0"/>
                            </a:schemeClr>
                          </a:fillRef>
                          <a:effectRef idx="0">
                            <a:schemeClr val="accent1">
                              <a:hueOff val="0"/>
                              <a:satOff val="0"/>
                              <a:lumOff val="0"/>
                              <a:alphaOff val="0"/>
                            </a:schemeClr>
                          </a:effectRef>
                          <a:fontRef idx="minor">
                            <a:schemeClr val="lt1"/>
                          </a:fontRef>
                        </wps:style>
                        <wps:txbx>
                          <w:txbxContent>
                            <w:p w14:paraId="7ECE6426"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wps:txbx>
                        <wps:bodyPr spcFirstLastPara="0" vert="horz" wrap="square" lIns="72082" tIns="72082" rIns="72082" bIns="72082" numCol="1" spcCol="1270" anchor="ctr" anchorCtr="0">
                          <a:noAutofit/>
                        </wps:bodyPr>
                      </wps:wsp>
                      <wps:wsp>
                        <wps:cNvPr id="143056867" name="Rectangle 143056867">
                          <a:extLst>
                            <a:ext uri="{FF2B5EF4-FFF2-40B4-BE49-F238E27FC236}">
                              <a16:creationId xmlns:a16="http://schemas.microsoft.com/office/drawing/2014/main" id="{9C22BAA0-C828-5967-8774-82F4D8B4E963}"/>
                            </a:ext>
                          </a:extLst>
                        </wps:cNvPr>
                        <wps:cNvSpPr/>
                        <wps:spPr>
                          <a:xfrm>
                            <a:off x="3023808" y="153857"/>
                            <a:ext cx="990773" cy="505276"/>
                          </a:xfrm>
                          <a:prstGeom prst="rect">
                            <a:avLst/>
                          </a:prstGeom>
                          <a:solidFill>
                            <a:srgbClr val="47928D"/>
                          </a:solidFill>
                          <a:ln w="3175">
                            <a:solidFill>
                              <a:schemeClr val="bg1"/>
                            </a:solidFill>
                          </a:ln>
                        </wps:spPr>
                        <wps:style>
                          <a:lnRef idx="3">
                            <a:schemeClr val="lt1"/>
                          </a:lnRef>
                          <a:fillRef idx="1">
                            <a:schemeClr val="accent3"/>
                          </a:fillRef>
                          <a:effectRef idx="1">
                            <a:schemeClr val="accent3"/>
                          </a:effectRef>
                          <a:fontRef idx="minor">
                            <a:schemeClr val="lt1"/>
                          </a:fontRef>
                        </wps:style>
                        <wps:txbx>
                          <w:txbxContent>
                            <w:p w14:paraId="4EE50808"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wps:txbx>
                        <wps:bodyPr spcFirstLastPara="0" vert="horz" wrap="square" lIns="72082" tIns="72082" rIns="72082" bIns="72082" numCol="1" spcCol="1270" anchor="ctr" anchorCtr="0">
                          <a:noAutofit/>
                        </wps:bodyPr>
                      </wps:wsp>
                      <wps:wsp>
                        <wps:cNvPr id="1056809561" name="Rectangle 1056809561">
                          <a:extLst>
                            <a:ext uri="{FF2B5EF4-FFF2-40B4-BE49-F238E27FC236}">
                              <a16:creationId xmlns:a16="http://schemas.microsoft.com/office/drawing/2014/main" id="{76076672-7CBD-9103-CC42-EB2AE9915CE6}"/>
                            </a:ext>
                          </a:extLst>
                        </wps:cNvPr>
                        <wps:cNvSpPr/>
                        <wps:spPr>
                          <a:xfrm>
                            <a:off x="4476354" y="153857"/>
                            <a:ext cx="990382" cy="505276"/>
                          </a:xfrm>
                          <a:prstGeom prst="rect">
                            <a:avLst/>
                          </a:prstGeom>
                          <a:solidFill>
                            <a:srgbClr val="47928D"/>
                          </a:solidFill>
                          <a:ln w="3175">
                            <a:solidFill>
                              <a:schemeClr val="bg1"/>
                            </a:solidFill>
                          </a:ln>
                        </wps:spPr>
                        <wps:style>
                          <a:lnRef idx="3">
                            <a:schemeClr val="lt1"/>
                          </a:lnRef>
                          <a:fillRef idx="1">
                            <a:schemeClr val="accent2"/>
                          </a:fillRef>
                          <a:effectRef idx="1">
                            <a:schemeClr val="accent2"/>
                          </a:effectRef>
                          <a:fontRef idx="minor">
                            <a:schemeClr val="lt1"/>
                          </a:fontRef>
                        </wps:style>
                        <wps:txbx>
                          <w:txbxContent>
                            <w:p w14:paraId="4371E90E"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wps:txbx>
                        <wps:bodyPr spcFirstLastPara="0" vert="horz" wrap="square" lIns="72082" tIns="72082" rIns="72082" bIns="72082" numCol="1" spcCol="1270" anchor="ctr" anchorCtr="0">
                          <a:noAutofit/>
                        </wps:bodyPr>
                      </wps:wsp>
                    </wpg:wgp>
                  </a:graphicData>
                </a:graphic>
              </wp:inline>
            </w:drawing>
          </mc:Choice>
          <mc:Fallback>
            <w:pict>
              <v:group w14:anchorId="4C482A18" id="Group 65" o:spid="_x0000_s1051" style="width:437.4pt;height:64pt;mso-position-horizontal-relative:char;mso-position-vertical-relative:line" coordsize="55552,8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">
                <v:rect id="Rectangle 908785896" o:spid="_x0000_s1052" style="position:absolute;width:55552;height:81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" fillcolor="#dbebea" strokecolor="#0c1615 [484]" strokeweight=".25pt"/>
                <v:shape id="Freeform: Shape 233195421" o:spid="_x0000_s1053" style="position:absolute;left:11091;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" path="m85519,246717r161198,l246717,85519r151746,l398463,246717r161198,l559661,398463r-161198,l398463,559661r-151746,l246717,398463r-161198,l85519,246717xe" fillcolor="#94c4bf [1940]" stroked="f">
                  <v:path arrowok="t" o:connecttype="custom" o:connectlocs="61292,176823;176823,176823;176823,61292;285581,61292;285581,176823;401112,176823;401112,285581;285581,285581;285581,401112;176823,401112;176823,285581;61292,285581;61292,176823" o:connectangles="0,0,0,0,0,0,0,0,0,0,0,0,0"/>
                </v:shape>
                <v:shape id="Freeform: Shape 538539861" o:spid="_x0000_s1054" style="position:absolute;left:25617;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" path="m85519,246717r474142,l559661,398463r-474142,l85519,246717xe" fillcolor="#94c4bf [1940]" stroked="f">
                  <v:path arrowok="t" o:connecttype="custom" o:connectlocs="61292,176823;401112,176823;401112,285581;61292,285581;61292,176823" o:connectangles="0,0,0,0,0"/>
                </v:shape>
                <v:shape id="Freeform: Shape 1932102927" o:spid="_x0000_s1055" style="position:absolute;left:40142;top:1752;width:4624;height:4624;visibility:visible;mso-wrap-style:square;v-text-anchor:middle" coordsize="645180,645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" path="m85519,132907r474142,l559661,284653r-474142,l85519,132907xm85519,360527r474142,l559661,512273r-474142,l85519,360527xe" fillcolor="#94c4bf [1940]" stroked="f">
                  <v:path arrowok="t" o:connecttype="custom" o:connectlocs="61292,95255;401112,95255;401112,204012;61292,204012;61292,95255;61292,258392;401112,258392;401112,367149;61292,367149;61292,258392" o:connectangles="0,0,0,0,0,0,0,0,0,0"/>
                </v:shape>
                <v:rect id="Rectangle 290703544" o:spid="_x0000_s1056" style="position:absolute;left:1187;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" fillcolor="#47928d" strokecolor="white [3212]" strokeweight=".25pt">
                  <v:textbox inset="2.00228mm,2.00228mm,2.00228mm,2.00228mm">
                    <w:txbxContent>
                      <w:p w14:paraId="3B386D85"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Exposure</w:t>
                        </w:r>
                      </w:p>
                    </w:txbxContent>
                  </v:textbox>
                </v:rect>
                <v:rect id="Rectangle 1647103832" o:spid="_x0000_s1057" style="position:absolute;left:15712;top:1538;width:9908;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" fillcolor="#47928d" strokecolor="white [3212]" strokeweight=".25pt">
                  <v:textbox inset="2.00228mm,2.00228mm,2.00228mm,2.00228mm">
                    <w:txbxContent>
                      <w:p w14:paraId="7ECE6426"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Sensitivity</w:t>
                        </w:r>
                      </w:p>
                    </w:txbxContent>
                  </v:textbox>
                </v:rect>
                <v:rect id="Rectangle 143056867" o:spid="_x0000_s1058" style="position:absolute;left:30238;top:1538;width:9907;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" fillcolor="#47928d" strokecolor="white [3212]" strokeweight=".25pt">
                  <v:textbox inset="2.00228mm,2.00228mm,2.00228mm,2.00228mm">
                    <w:txbxContent>
                      <w:p w14:paraId="4EE50808"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Adaptive Capacity</w:t>
                        </w:r>
                      </w:p>
                    </w:txbxContent>
                  </v:textbox>
                </v:rect>
                <v:rect id="Rectangle 1056809561" o:spid="_x0000_s1059" style="position:absolute;left:44763;top:1538;width:9904;height:50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" fillcolor="#47928d" strokecolor="white [3212]" strokeweight=".25pt">
                  <v:textbox inset="2.00228mm,2.00228mm,2.00228mm,2.00228mm">
                    <w:txbxContent>
                      <w:p w14:paraId="4371E90E" w14:textId="77777777" w:rsidR="003B33E1" w:rsidRDefault="003B33E1" w:rsidP="003B33E1">
                        <w:pPr>
                          <w:spacing w:after="92" w:line="216" w:lineRule="auto"/>
                          <w:jc w:val="center"/>
                          <w:rPr>
                            <w:rFonts w:hAnsi="Aptos"/>
                            <w:b/>
                            <w:bCs/>
                            <w:color w:val="FFFFFF" w:themeColor="background1"/>
                            <w:kern w:val="24"/>
                            <w:sz w:val="22"/>
                            <w:szCs w:val="22"/>
                          </w:rPr>
                        </w:pPr>
                        <w:r>
                          <w:rPr>
                            <w:rFonts w:hAnsi="Aptos"/>
                            <w:b/>
                            <w:bCs/>
                            <w:color w:val="FFFFFF" w:themeColor="background1"/>
                            <w:kern w:val="24"/>
                            <w:sz w:val="22"/>
                            <w:szCs w:val="22"/>
                          </w:rPr>
                          <w:t>Overall Vulnerability</w:t>
                        </w:r>
                      </w:p>
                    </w:txbxContent>
                  </v:textbox>
                </v:rect>
                <w10:anchorlock/>
              </v:group>
            </w:pict>
          </mc:Fallback>
        </mc:AlternateContent>
      </w:r>
    </w:p>
    <w:p w14:paraId="4D0BCB1D" w14:textId="77777777" w:rsidR="003B33E1" w:rsidRPr="009E6CE3" w:rsidRDefault="003B33E1" w:rsidP="003B33E1">
      <w:pPr>
        <w:rPr>
          <w:lang w:val="en-GB"/>
        </w:rPr>
      </w:pPr>
      <w:r w:rsidRPr="009E6CE3">
        <w:rPr>
          <w:lang w:val="en-GB"/>
        </w:rPr>
        <w:t xml:space="preserve">Exposure, sensitivity and adaptive capacity are scored on a scale of 0-3 (see below). </w:t>
      </w:r>
    </w:p>
    <w:p w14:paraId="587BEEE6" w14:textId="77777777" w:rsidR="003B33E1" w:rsidRPr="009E6CE3" w:rsidRDefault="003B33E1" w:rsidP="003B33E1">
      <w:pPr>
        <w:pStyle w:val="Heading2"/>
      </w:pPr>
      <w:r w:rsidRPr="009E6CE3">
        <w:t>Exposure</w:t>
      </w:r>
      <w:r w:rsidRPr="009E6CE3">
        <w:tab/>
      </w:r>
    </w:p>
    <w:p w14:paraId="2588E5D1" w14:textId="77777777" w:rsidR="003B33E1" w:rsidRPr="009E6CE3" w:rsidRDefault="003B33E1" w:rsidP="003B33E1">
      <w:pPr>
        <w:rPr>
          <w:lang w:val="en-GB"/>
        </w:rPr>
      </w:pPr>
      <w:r w:rsidRPr="009E6CE3">
        <w:rPr>
          <w:lang w:val="en-GB"/>
        </w:rPr>
        <w:t>The presence of people, livelihoods, species or ecosystems, environmental functions, services, and resources, infrastructure, or economic, social, or cultural assets in places and settings that could be adversely affected.</w:t>
      </w:r>
    </w:p>
    <w:tbl>
      <w:tblPr>
        <w:tblW w:w="5000" w:type="pct"/>
        <w:tblLayout w:type="fixed"/>
        <w:tblLook w:val="04A0" w:firstRow="1" w:lastRow="0" w:firstColumn="1" w:lastColumn="0" w:noHBand="0" w:noVBand="1"/>
      </w:tblPr>
      <w:tblGrid>
        <w:gridCol w:w="983"/>
        <w:gridCol w:w="1560"/>
        <w:gridCol w:w="4260"/>
        <w:gridCol w:w="2203"/>
      </w:tblGrid>
      <w:tr w:rsidR="003B33E1" w:rsidRPr="009E6CE3" w14:paraId="0D3ED587"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0FE54ADC"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Score</w:t>
            </w:r>
          </w:p>
        </w:tc>
        <w:tc>
          <w:tcPr>
            <w:tcW w:w="866" w:type="pct"/>
            <w:tcBorders>
              <w:top w:val="single" w:sz="8" w:space="0" w:color="47928D"/>
              <w:left w:val="nil"/>
              <w:bottom w:val="single" w:sz="8" w:space="0" w:color="47928D"/>
              <w:right w:val="nil"/>
            </w:tcBorders>
            <w:shd w:val="clear" w:color="000000" w:fill="47928D"/>
            <w:noWrap/>
            <w:vAlign w:val="center"/>
            <w:hideMark/>
          </w:tcPr>
          <w:p w14:paraId="6A759BC8"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Rating</w:t>
            </w:r>
          </w:p>
        </w:tc>
        <w:tc>
          <w:tcPr>
            <w:tcW w:w="2365" w:type="pct"/>
            <w:tcBorders>
              <w:top w:val="single" w:sz="8" w:space="0" w:color="47928D"/>
              <w:left w:val="nil"/>
              <w:bottom w:val="single" w:sz="8" w:space="0" w:color="47928D"/>
              <w:right w:val="single" w:sz="8" w:space="0" w:color="47928D"/>
            </w:tcBorders>
            <w:shd w:val="clear" w:color="000000" w:fill="47928D"/>
            <w:noWrap/>
            <w:vAlign w:val="center"/>
            <w:hideMark/>
          </w:tcPr>
          <w:p w14:paraId="3CE63AE5"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Description</w:t>
            </w:r>
          </w:p>
        </w:tc>
        <w:tc>
          <w:tcPr>
            <w:tcW w:w="1224" w:type="pct"/>
            <w:tcBorders>
              <w:top w:val="single" w:sz="8" w:space="0" w:color="47928D"/>
              <w:left w:val="nil"/>
              <w:bottom w:val="single" w:sz="8" w:space="0" w:color="47928D"/>
              <w:right w:val="single" w:sz="8" w:space="0" w:color="47928D"/>
            </w:tcBorders>
            <w:shd w:val="clear" w:color="000000" w:fill="47928D"/>
            <w:noWrap/>
            <w:vAlign w:val="center"/>
            <w:hideMark/>
          </w:tcPr>
          <w:p w14:paraId="676E4AF7"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Area or System exposed</w:t>
            </w:r>
          </w:p>
        </w:tc>
      </w:tr>
      <w:tr w:rsidR="003B33E1" w:rsidRPr="009E6CE3" w14:paraId="59691AC1"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3E924FD2"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3</w:t>
            </w:r>
          </w:p>
        </w:tc>
        <w:tc>
          <w:tcPr>
            <w:tcW w:w="866" w:type="pct"/>
            <w:tcBorders>
              <w:top w:val="nil"/>
              <w:left w:val="nil"/>
              <w:bottom w:val="single" w:sz="8" w:space="0" w:color="49938D"/>
              <w:right w:val="single" w:sz="8" w:space="0" w:color="49938D"/>
            </w:tcBorders>
            <w:noWrap/>
            <w:vAlign w:val="center"/>
            <w:hideMark/>
          </w:tcPr>
          <w:p w14:paraId="0E0CF279"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High</w:t>
            </w:r>
          </w:p>
        </w:tc>
        <w:tc>
          <w:tcPr>
            <w:tcW w:w="2365" w:type="pct"/>
            <w:tcBorders>
              <w:top w:val="nil"/>
              <w:left w:val="nil"/>
              <w:bottom w:val="single" w:sz="8" w:space="0" w:color="49938D"/>
              <w:right w:val="single" w:sz="8" w:space="0" w:color="49938D"/>
            </w:tcBorders>
            <w:noWrap/>
            <w:vAlign w:val="center"/>
            <w:hideMark/>
          </w:tcPr>
          <w:p w14:paraId="21BED4DD"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50-100%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30F8F203"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50-100%</w:t>
            </w:r>
          </w:p>
        </w:tc>
      </w:tr>
      <w:tr w:rsidR="003B33E1" w:rsidRPr="009E6CE3" w14:paraId="55AC5285"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30344AC3"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2</w:t>
            </w:r>
          </w:p>
        </w:tc>
        <w:tc>
          <w:tcPr>
            <w:tcW w:w="866" w:type="pct"/>
            <w:tcBorders>
              <w:top w:val="nil"/>
              <w:left w:val="nil"/>
              <w:bottom w:val="single" w:sz="8" w:space="0" w:color="49938D"/>
              <w:right w:val="single" w:sz="8" w:space="0" w:color="49938D"/>
            </w:tcBorders>
            <w:noWrap/>
            <w:vAlign w:val="center"/>
            <w:hideMark/>
          </w:tcPr>
          <w:p w14:paraId="6124DCDA"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Significant</w:t>
            </w:r>
          </w:p>
        </w:tc>
        <w:tc>
          <w:tcPr>
            <w:tcW w:w="2365" w:type="pct"/>
            <w:tcBorders>
              <w:top w:val="nil"/>
              <w:left w:val="nil"/>
              <w:bottom w:val="single" w:sz="8" w:space="0" w:color="49938D"/>
              <w:right w:val="single" w:sz="8" w:space="0" w:color="49938D"/>
            </w:tcBorders>
            <w:noWrap/>
            <w:vAlign w:val="center"/>
            <w:hideMark/>
          </w:tcPr>
          <w:p w14:paraId="5E397202"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25-50%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5CD79642"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25-50%</w:t>
            </w:r>
          </w:p>
        </w:tc>
      </w:tr>
      <w:tr w:rsidR="003B33E1" w:rsidRPr="009E6CE3" w14:paraId="13D6E205"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4EE68B69"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1</w:t>
            </w:r>
          </w:p>
        </w:tc>
        <w:tc>
          <w:tcPr>
            <w:tcW w:w="866" w:type="pct"/>
            <w:tcBorders>
              <w:top w:val="nil"/>
              <w:left w:val="nil"/>
              <w:bottom w:val="single" w:sz="8" w:space="0" w:color="49938D"/>
              <w:right w:val="single" w:sz="8" w:space="0" w:color="49938D"/>
            </w:tcBorders>
            <w:noWrap/>
            <w:vAlign w:val="center"/>
            <w:hideMark/>
          </w:tcPr>
          <w:p w14:paraId="7D7F25D7"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Moderate</w:t>
            </w:r>
          </w:p>
        </w:tc>
        <w:tc>
          <w:tcPr>
            <w:tcW w:w="2365" w:type="pct"/>
            <w:tcBorders>
              <w:top w:val="nil"/>
              <w:left w:val="nil"/>
              <w:bottom w:val="single" w:sz="8" w:space="0" w:color="49938D"/>
              <w:right w:val="single" w:sz="8" w:space="0" w:color="49938D"/>
            </w:tcBorders>
            <w:noWrap/>
            <w:vAlign w:val="center"/>
            <w:hideMark/>
          </w:tcPr>
          <w:p w14:paraId="11DB9C20"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10-25%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31012435"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10-25%</w:t>
            </w:r>
          </w:p>
        </w:tc>
      </w:tr>
      <w:tr w:rsidR="003B33E1" w:rsidRPr="009E6CE3" w14:paraId="49024F93" w14:textId="77777777" w:rsidTr="00C52D67">
        <w:trPr>
          <w:trHeight w:val="300"/>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35A98859"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0</w:t>
            </w:r>
          </w:p>
        </w:tc>
        <w:tc>
          <w:tcPr>
            <w:tcW w:w="866" w:type="pct"/>
            <w:tcBorders>
              <w:top w:val="nil"/>
              <w:left w:val="nil"/>
              <w:bottom w:val="single" w:sz="8" w:space="0" w:color="49938D"/>
              <w:right w:val="single" w:sz="8" w:space="0" w:color="49938D"/>
            </w:tcBorders>
            <w:noWrap/>
            <w:vAlign w:val="center"/>
            <w:hideMark/>
          </w:tcPr>
          <w:p w14:paraId="43E09074"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Low or None</w:t>
            </w:r>
          </w:p>
        </w:tc>
        <w:tc>
          <w:tcPr>
            <w:tcW w:w="2365" w:type="pct"/>
            <w:tcBorders>
              <w:top w:val="nil"/>
              <w:left w:val="nil"/>
              <w:bottom w:val="single" w:sz="8" w:space="0" w:color="49938D"/>
              <w:right w:val="single" w:sz="8" w:space="0" w:color="49938D"/>
            </w:tcBorders>
            <w:noWrap/>
            <w:vAlign w:val="center"/>
            <w:hideMark/>
          </w:tcPr>
          <w:p w14:paraId="19128EFB"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0-10% of affected area/system expose to climate hazards</w:t>
            </w:r>
          </w:p>
        </w:tc>
        <w:tc>
          <w:tcPr>
            <w:tcW w:w="1224" w:type="pct"/>
            <w:tcBorders>
              <w:top w:val="nil"/>
              <w:left w:val="nil"/>
              <w:bottom w:val="single" w:sz="8" w:space="0" w:color="49938D"/>
              <w:right w:val="single" w:sz="8" w:space="0" w:color="49938D"/>
            </w:tcBorders>
            <w:noWrap/>
            <w:vAlign w:val="center"/>
            <w:hideMark/>
          </w:tcPr>
          <w:p w14:paraId="7803E8AE"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0-10%</w:t>
            </w:r>
          </w:p>
        </w:tc>
      </w:tr>
    </w:tbl>
    <w:p w14:paraId="78B397AF" w14:textId="77777777" w:rsidR="003B33E1" w:rsidRPr="009E6CE3" w:rsidRDefault="003B33E1" w:rsidP="003B33E1">
      <w:pPr>
        <w:rPr>
          <w:lang w:val="en-GB"/>
        </w:rPr>
      </w:pPr>
    </w:p>
    <w:p w14:paraId="1CCF1A40" w14:textId="77777777" w:rsidR="003B33E1" w:rsidRPr="009E6CE3" w:rsidRDefault="003B33E1" w:rsidP="003B33E1">
      <w:pPr>
        <w:pStyle w:val="Heading2"/>
      </w:pPr>
      <w:r w:rsidRPr="009E6CE3">
        <w:t>Sensitivity</w:t>
      </w:r>
    </w:p>
    <w:p w14:paraId="502EBE86" w14:textId="77777777" w:rsidR="003B33E1" w:rsidRPr="009E6CE3" w:rsidRDefault="003B33E1" w:rsidP="003B33E1">
      <w:pPr>
        <w:rPr>
          <w:lang w:val="en-GB"/>
        </w:rPr>
      </w:pPr>
      <w:r w:rsidRPr="009E6CE3">
        <w:rPr>
          <w:lang w:val="en-GB"/>
        </w:rPr>
        <w:t>The degree to which a system or species is adversely or beneficially affected by climate variability or climate change.</w:t>
      </w:r>
    </w:p>
    <w:p w14:paraId="2C4FFA24" w14:textId="77777777" w:rsidR="003B33E1" w:rsidRPr="009E6CE3" w:rsidRDefault="003B33E1" w:rsidP="003B33E1">
      <w:pPr>
        <w:spacing w:after="0" w:line="240" w:lineRule="auto"/>
        <w:rPr>
          <w:rFonts w:ascii="Aptos Narrow" w:eastAsia="Times New Roman" w:hAnsi="Aptos Narrow" w:cs="Times New Roman"/>
          <w:color w:val="000000"/>
          <w:sz w:val="22"/>
          <w:szCs w:val="22"/>
          <w:lang w:val="en-GB" w:eastAsia="en-GB"/>
        </w:rPr>
      </w:pPr>
    </w:p>
    <w:tbl>
      <w:tblPr>
        <w:tblW w:w="5000" w:type="pct"/>
        <w:tblLayout w:type="fixed"/>
        <w:tblLook w:val="04A0" w:firstRow="1" w:lastRow="0" w:firstColumn="1" w:lastColumn="0" w:noHBand="0" w:noVBand="1"/>
      </w:tblPr>
      <w:tblGrid>
        <w:gridCol w:w="1124"/>
        <w:gridCol w:w="1599"/>
        <w:gridCol w:w="6283"/>
      </w:tblGrid>
      <w:tr w:rsidR="003B33E1" w:rsidRPr="009E6CE3" w14:paraId="353B8B08" w14:textId="77777777" w:rsidTr="00C52D67">
        <w:trPr>
          <w:trHeight w:val="300"/>
          <w:tblHeader/>
        </w:trPr>
        <w:tc>
          <w:tcPr>
            <w:tcW w:w="624" w:type="pct"/>
            <w:tcBorders>
              <w:top w:val="single" w:sz="8" w:space="0" w:color="47928D"/>
              <w:left w:val="single" w:sz="8" w:space="0" w:color="47928D"/>
              <w:bottom w:val="single" w:sz="8" w:space="0" w:color="47928D"/>
              <w:right w:val="nil"/>
            </w:tcBorders>
            <w:shd w:val="clear" w:color="000000" w:fill="47928D"/>
            <w:noWrap/>
            <w:vAlign w:val="center"/>
            <w:hideMark/>
          </w:tcPr>
          <w:p w14:paraId="133BFA4B"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Score</w:t>
            </w:r>
          </w:p>
        </w:tc>
        <w:tc>
          <w:tcPr>
            <w:tcW w:w="888" w:type="pct"/>
            <w:tcBorders>
              <w:top w:val="single" w:sz="8" w:space="0" w:color="47928D"/>
              <w:left w:val="nil"/>
              <w:bottom w:val="single" w:sz="8" w:space="0" w:color="47928D"/>
              <w:right w:val="single" w:sz="8" w:space="0" w:color="47928D"/>
            </w:tcBorders>
            <w:shd w:val="clear" w:color="000000" w:fill="47928D"/>
            <w:noWrap/>
            <w:vAlign w:val="center"/>
            <w:hideMark/>
          </w:tcPr>
          <w:p w14:paraId="7EFDC019"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Rating</w:t>
            </w:r>
          </w:p>
        </w:tc>
        <w:tc>
          <w:tcPr>
            <w:tcW w:w="3488" w:type="pct"/>
            <w:tcBorders>
              <w:top w:val="single" w:sz="8" w:space="0" w:color="47928D"/>
              <w:left w:val="nil"/>
              <w:bottom w:val="single" w:sz="8" w:space="0" w:color="47928D"/>
              <w:right w:val="single" w:sz="8" w:space="0" w:color="47928D"/>
            </w:tcBorders>
            <w:shd w:val="clear" w:color="000000" w:fill="47928D"/>
            <w:noWrap/>
            <w:vAlign w:val="center"/>
            <w:hideMark/>
          </w:tcPr>
          <w:p w14:paraId="67BF6967"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Description</w:t>
            </w:r>
          </w:p>
        </w:tc>
      </w:tr>
      <w:tr w:rsidR="003B33E1" w:rsidRPr="009E6CE3" w14:paraId="09B8EE47" w14:textId="77777777" w:rsidTr="00C52D67">
        <w:trPr>
          <w:trHeight w:val="564"/>
        </w:trPr>
        <w:tc>
          <w:tcPr>
            <w:tcW w:w="624" w:type="pct"/>
            <w:tcBorders>
              <w:top w:val="nil"/>
              <w:left w:val="single" w:sz="8" w:space="0" w:color="49938D"/>
              <w:bottom w:val="single" w:sz="8" w:space="0" w:color="49938D"/>
              <w:right w:val="single" w:sz="8" w:space="0" w:color="49938D"/>
            </w:tcBorders>
            <w:shd w:val="clear" w:color="000000" w:fill="FF0000"/>
            <w:noWrap/>
            <w:vAlign w:val="center"/>
            <w:hideMark/>
          </w:tcPr>
          <w:p w14:paraId="485179FD"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3</w:t>
            </w:r>
          </w:p>
        </w:tc>
        <w:tc>
          <w:tcPr>
            <w:tcW w:w="888" w:type="pct"/>
            <w:tcBorders>
              <w:top w:val="nil"/>
              <w:left w:val="nil"/>
              <w:bottom w:val="single" w:sz="8" w:space="0" w:color="49938D"/>
              <w:right w:val="single" w:sz="8" w:space="0" w:color="49938D"/>
            </w:tcBorders>
            <w:noWrap/>
            <w:vAlign w:val="center"/>
            <w:hideMark/>
          </w:tcPr>
          <w:p w14:paraId="78C1AEB5"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High sensitivity</w:t>
            </w:r>
          </w:p>
        </w:tc>
        <w:tc>
          <w:tcPr>
            <w:tcW w:w="3488" w:type="pct"/>
            <w:tcBorders>
              <w:top w:val="nil"/>
              <w:left w:val="nil"/>
              <w:bottom w:val="single" w:sz="8" w:space="0" w:color="49938D"/>
              <w:right w:val="single" w:sz="8" w:space="0" w:color="49938D"/>
            </w:tcBorders>
            <w:vAlign w:val="center"/>
            <w:hideMark/>
          </w:tcPr>
          <w:p w14:paraId="395840C1"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Potential loss of life or high impact caused by climate change. Difficult or impossible for systems to recover</w:t>
            </w:r>
          </w:p>
        </w:tc>
      </w:tr>
      <w:tr w:rsidR="003B33E1" w:rsidRPr="009E6CE3" w14:paraId="6BBD7E4C"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6600"/>
            <w:noWrap/>
            <w:vAlign w:val="center"/>
            <w:hideMark/>
          </w:tcPr>
          <w:p w14:paraId="1699DC2F"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2</w:t>
            </w:r>
          </w:p>
        </w:tc>
        <w:tc>
          <w:tcPr>
            <w:tcW w:w="888" w:type="pct"/>
            <w:tcBorders>
              <w:top w:val="nil"/>
              <w:left w:val="nil"/>
              <w:bottom w:val="single" w:sz="8" w:space="0" w:color="49938D"/>
              <w:right w:val="single" w:sz="8" w:space="0" w:color="49938D"/>
            </w:tcBorders>
            <w:noWrap/>
            <w:vAlign w:val="center"/>
            <w:hideMark/>
          </w:tcPr>
          <w:p w14:paraId="27A0A801"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Significant sensitivity</w:t>
            </w:r>
          </w:p>
        </w:tc>
        <w:tc>
          <w:tcPr>
            <w:tcW w:w="3488" w:type="pct"/>
            <w:tcBorders>
              <w:top w:val="nil"/>
              <w:left w:val="nil"/>
              <w:bottom w:val="single" w:sz="8" w:space="0" w:color="49938D"/>
              <w:right w:val="single" w:sz="8" w:space="0" w:color="49938D"/>
            </w:tcBorders>
            <w:noWrap/>
            <w:vAlign w:val="center"/>
            <w:hideMark/>
          </w:tcPr>
          <w:p w14:paraId="5959F94A"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If climate changes event happens, high impact, but not catastrophic</w:t>
            </w:r>
          </w:p>
        </w:tc>
      </w:tr>
      <w:tr w:rsidR="003B33E1" w:rsidRPr="009E6CE3" w14:paraId="10228E8C"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FFCC66"/>
            <w:noWrap/>
            <w:vAlign w:val="center"/>
            <w:hideMark/>
          </w:tcPr>
          <w:p w14:paraId="5FA31175"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1</w:t>
            </w:r>
          </w:p>
        </w:tc>
        <w:tc>
          <w:tcPr>
            <w:tcW w:w="888" w:type="pct"/>
            <w:tcBorders>
              <w:top w:val="nil"/>
              <w:left w:val="nil"/>
              <w:bottom w:val="single" w:sz="8" w:space="0" w:color="49938D"/>
              <w:right w:val="single" w:sz="8" w:space="0" w:color="49938D"/>
            </w:tcBorders>
            <w:noWrap/>
            <w:vAlign w:val="center"/>
            <w:hideMark/>
          </w:tcPr>
          <w:p w14:paraId="0DE1AC6B"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Moderate sensitivity</w:t>
            </w:r>
          </w:p>
        </w:tc>
        <w:tc>
          <w:tcPr>
            <w:tcW w:w="3488" w:type="pct"/>
            <w:tcBorders>
              <w:top w:val="nil"/>
              <w:left w:val="nil"/>
              <w:bottom w:val="single" w:sz="8" w:space="0" w:color="49938D"/>
              <w:right w:val="single" w:sz="8" w:space="0" w:color="49938D"/>
            </w:tcBorders>
            <w:noWrap/>
            <w:vAlign w:val="center"/>
            <w:hideMark/>
          </w:tcPr>
          <w:p w14:paraId="25A04277"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If climate changes event happens, there is an impact, but not very disruptive</w:t>
            </w:r>
          </w:p>
        </w:tc>
      </w:tr>
      <w:tr w:rsidR="003B33E1" w:rsidRPr="009E6CE3" w14:paraId="6F7CC3C4" w14:textId="77777777" w:rsidTr="00C52D67">
        <w:trPr>
          <w:trHeight w:val="300"/>
        </w:trPr>
        <w:tc>
          <w:tcPr>
            <w:tcW w:w="624" w:type="pct"/>
            <w:tcBorders>
              <w:top w:val="nil"/>
              <w:left w:val="single" w:sz="8" w:space="0" w:color="49938D"/>
              <w:bottom w:val="single" w:sz="8" w:space="0" w:color="49938D"/>
              <w:right w:val="single" w:sz="8" w:space="0" w:color="49938D"/>
            </w:tcBorders>
            <w:shd w:val="clear" w:color="000000" w:fill="92D050"/>
            <w:noWrap/>
            <w:vAlign w:val="center"/>
            <w:hideMark/>
          </w:tcPr>
          <w:p w14:paraId="18C356FF"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0</w:t>
            </w:r>
          </w:p>
        </w:tc>
        <w:tc>
          <w:tcPr>
            <w:tcW w:w="888" w:type="pct"/>
            <w:tcBorders>
              <w:top w:val="nil"/>
              <w:left w:val="nil"/>
              <w:bottom w:val="single" w:sz="8" w:space="0" w:color="49938D"/>
              <w:right w:val="single" w:sz="8" w:space="0" w:color="49938D"/>
            </w:tcBorders>
            <w:noWrap/>
            <w:vAlign w:val="center"/>
            <w:hideMark/>
          </w:tcPr>
          <w:p w14:paraId="18ED28B7"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None or low sensitivity</w:t>
            </w:r>
          </w:p>
        </w:tc>
        <w:tc>
          <w:tcPr>
            <w:tcW w:w="3488" w:type="pct"/>
            <w:tcBorders>
              <w:top w:val="nil"/>
              <w:left w:val="nil"/>
              <w:bottom w:val="single" w:sz="8" w:space="0" w:color="49938D"/>
              <w:right w:val="single" w:sz="8" w:space="0" w:color="49938D"/>
            </w:tcBorders>
            <w:noWrap/>
            <w:vAlign w:val="center"/>
            <w:hideMark/>
          </w:tcPr>
          <w:p w14:paraId="5D3FB12C"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Limited or no consequence from climate event</w:t>
            </w:r>
          </w:p>
        </w:tc>
      </w:tr>
    </w:tbl>
    <w:p w14:paraId="206F2DCA" w14:textId="77777777" w:rsidR="003B33E1" w:rsidRPr="009E6CE3" w:rsidRDefault="003B33E1" w:rsidP="003B33E1">
      <w:pPr>
        <w:rPr>
          <w:lang w:val="en-GB"/>
        </w:rPr>
      </w:pPr>
    </w:p>
    <w:p w14:paraId="643C7453" w14:textId="77777777" w:rsidR="003B33E1" w:rsidRPr="009E6CE3" w:rsidRDefault="003B33E1" w:rsidP="003B33E1">
      <w:pPr>
        <w:pStyle w:val="Heading2"/>
      </w:pPr>
      <w:r w:rsidRPr="009E6CE3">
        <w:lastRenderedPageBreak/>
        <w:t>Adaptive Capacity</w:t>
      </w:r>
    </w:p>
    <w:p w14:paraId="7E477B1A" w14:textId="77777777" w:rsidR="003B33E1" w:rsidRPr="009E6CE3" w:rsidRDefault="003B33E1" w:rsidP="003B33E1">
      <w:pPr>
        <w:rPr>
          <w:lang w:val="en-GB"/>
        </w:rPr>
      </w:pPr>
      <w:r w:rsidRPr="009E6CE3">
        <w:rPr>
          <w:lang w:val="en-GB"/>
        </w:rPr>
        <w:t>The ability of current systems, institutions, structural units, humans and other organisms to adjust to potential damage, to take advantage of opportunities, or to respond to consequences</w:t>
      </w:r>
    </w:p>
    <w:tbl>
      <w:tblPr>
        <w:tblW w:w="5000" w:type="pct"/>
        <w:tblLayout w:type="fixed"/>
        <w:tblLook w:val="04A0" w:firstRow="1" w:lastRow="0" w:firstColumn="1" w:lastColumn="0" w:noHBand="0" w:noVBand="1"/>
      </w:tblPr>
      <w:tblGrid>
        <w:gridCol w:w="984"/>
        <w:gridCol w:w="2125"/>
        <w:gridCol w:w="5897"/>
      </w:tblGrid>
      <w:tr w:rsidR="003B33E1" w:rsidRPr="009E6CE3" w14:paraId="7ADFF087" w14:textId="77777777" w:rsidTr="00C52D67">
        <w:trPr>
          <w:trHeight w:val="300"/>
          <w:tblHeader/>
        </w:trPr>
        <w:tc>
          <w:tcPr>
            <w:tcW w:w="546" w:type="pct"/>
            <w:tcBorders>
              <w:top w:val="single" w:sz="8" w:space="0" w:color="47928D"/>
              <w:left w:val="single" w:sz="8" w:space="0" w:color="47928D"/>
              <w:bottom w:val="single" w:sz="8" w:space="0" w:color="47928D"/>
              <w:right w:val="nil"/>
            </w:tcBorders>
            <w:shd w:val="clear" w:color="000000" w:fill="47928D"/>
            <w:noWrap/>
            <w:vAlign w:val="center"/>
            <w:hideMark/>
          </w:tcPr>
          <w:p w14:paraId="174A8451"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Score</w:t>
            </w:r>
          </w:p>
        </w:tc>
        <w:tc>
          <w:tcPr>
            <w:tcW w:w="1180" w:type="pct"/>
            <w:tcBorders>
              <w:top w:val="single" w:sz="8" w:space="0" w:color="47928D"/>
              <w:left w:val="nil"/>
              <w:bottom w:val="single" w:sz="8" w:space="0" w:color="47928D"/>
              <w:right w:val="single" w:sz="8" w:space="0" w:color="47928D"/>
            </w:tcBorders>
            <w:shd w:val="clear" w:color="000000" w:fill="47928D"/>
            <w:noWrap/>
            <w:vAlign w:val="center"/>
            <w:hideMark/>
          </w:tcPr>
          <w:p w14:paraId="20C2D23F"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Rating</w:t>
            </w:r>
          </w:p>
        </w:tc>
        <w:tc>
          <w:tcPr>
            <w:tcW w:w="3274" w:type="pct"/>
            <w:tcBorders>
              <w:top w:val="single" w:sz="8" w:space="0" w:color="47928D"/>
              <w:left w:val="nil"/>
              <w:bottom w:val="single" w:sz="8" w:space="0" w:color="47928D"/>
              <w:right w:val="single" w:sz="8" w:space="0" w:color="47928D"/>
            </w:tcBorders>
            <w:shd w:val="clear" w:color="000000" w:fill="47928D"/>
            <w:noWrap/>
            <w:vAlign w:val="center"/>
            <w:hideMark/>
          </w:tcPr>
          <w:p w14:paraId="6D0884EA" w14:textId="77777777" w:rsidR="003B33E1" w:rsidRPr="009E6CE3" w:rsidRDefault="003B33E1" w:rsidP="00C52D67">
            <w:pPr>
              <w:spacing w:after="0"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Description</w:t>
            </w:r>
          </w:p>
        </w:tc>
      </w:tr>
      <w:tr w:rsidR="003B33E1" w:rsidRPr="009E6CE3" w14:paraId="313EB1E8"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0000"/>
            <w:noWrap/>
            <w:vAlign w:val="center"/>
            <w:hideMark/>
          </w:tcPr>
          <w:p w14:paraId="7C1B5E0E"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0</w:t>
            </w:r>
          </w:p>
        </w:tc>
        <w:tc>
          <w:tcPr>
            <w:tcW w:w="1180" w:type="pct"/>
            <w:tcBorders>
              <w:top w:val="nil"/>
              <w:left w:val="nil"/>
              <w:bottom w:val="single" w:sz="8" w:space="0" w:color="49938D"/>
              <w:right w:val="single" w:sz="8" w:space="0" w:color="49938D"/>
            </w:tcBorders>
            <w:noWrap/>
            <w:vAlign w:val="center"/>
            <w:hideMark/>
          </w:tcPr>
          <w:p w14:paraId="40F43865"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Low or No Adaptive Capacity</w:t>
            </w:r>
          </w:p>
        </w:tc>
        <w:tc>
          <w:tcPr>
            <w:tcW w:w="3274" w:type="pct"/>
            <w:tcBorders>
              <w:top w:val="nil"/>
              <w:left w:val="nil"/>
              <w:bottom w:val="single" w:sz="8" w:space="0" w:color="49938D"/>
              <w:right w:val="single" w:sz="8" w:space="0" w:color="49938D"/>
            </w:tcBorders>
            <w:vAlign w:val="center"/>
            <w:hideMark/>
          </w:tcPr>
          <w:p w14:paraId="74245786"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Limited or no local or national policies or programmes in place to currently address specific risk/opportunity</w:t>
            </w:r>
          </w:p>
        </w:tc>
      </w:tr>
      <w:tr w:rsidR="003B33E1" w:rsidRPr="009E6CE3" w14:paraId="64152B92"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6600"/>
            <w:noWrap/>
            <w:vAlign w:val="center"/>
            <w:hideMark/>
          </w:tcPr>
          <w:p w14:paraId="4D3BDF6E"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1</w:t>
            </w:r>
          </w:p>
        </w:tc>
        <w:tc>
          <w:tcPr>
            <w:tcW w:w="1180" w:type="pct"/>
            <w:tcBorders>
              <w:top w:val="nil"/>
              <w:left w:val="nil"/>
              <w:bottom w:val="single" w:sz="8" w:space="0" w:color="49938D"/>
              <w:right w:val="single" w:sz="8" w:space="0" w:color="49938D"/>
            </w:tcBorders>
            <w:noWrap/>
            <w:vAlign w:val="center"/>
            <w:hideMark/>
          </w:tcPr>
          <w:p w14:paraId="0CF76A1D"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Moderate Adaptive Capacity</w:t>
            </w:r>
          </w:p>
        </w:tc>
        <w:tc>
          <w:tcPr>
            <w:tcW w:w="3274" w:type="pct"/>
            <w:tcBorders>
              <w:top w:val="nil"/>
              <w:left w:val="nil"/>
              <w:bottom w:val="single" w:sz="8" w:space="0" w:color="49938D"/>
              <w:right w:val="single" w:sz="8" w:space="0" w:color="49938D"/>
            </w:tcBorders>
            <w:vAlign w:val="center"/>
            <w:hideMark/>
          </w:tcPr>
          <w:p w14:paraId="0AAE8446"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 xml:space="preserve">Either some local or national policies and programmes in place, that may </w:t>
            </w:r>
            <w:r w:rsidRPr="009E6CE3">
              <w:rPr>
                <w:rFonts w:ascii="Aptos" w:eastAsia="Times New Roman" w:hAnsi="Aptos" w:cs="Times New Roman"/>
                <w:color w:val="000000"/>
                <w:u w:val="single"/>
                <w:lang w:val="en-GB" w:eastAsia="en-GB"/>
              </w:rPr>
              <w:t xml:space="preserve">indirectly </w:t>
            </w:r>
            <w:r w:rsidRPr="009E6CE3">
              <w:rPr>
                <w:rFonts w:ascii="Aptos" w:eastAsia="Times New Roman" w:hAnsi="Aptos" w:cs="Times New Roman"/>
                <w:color w:val="000000"/>
                <w:lang w:val="en-GB" w:eastAsia="en-GB"/>
              </w:rPr>
              <w:t>address risk/opportunity or are limited in scope</w:t>
            </w:r>
          </w:p>
        </w:tc>
      </w:tr>
      <w:tr w:rsidR="003B33E1" w:rsidRPr="009E6CE3" w14:paraId="765BA804"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FFCC66"/>
            <w:noWrap/>
            <w:vAlign w:val="center"/>
            <w:hideMark/>
          </w:tcPr>
          <w:p w14:paraId="1B357E72"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2</w:t>
            </w:r>
          </w:p>
        </w:tc>
        <w:tc>
          <w:tcPr>
            <w:tcW w:w="1180" w:type="pct"/>
            <w:tcBorders>
              <w:top w:val="nil"/>
              <w:left w:val="nil"/>
              <w:bottom w:val="single" w:sz="8" w:space="0" w:color="49938D"/>
              <w:right w:val="single" w:sz="8" w:space="0" w:color="49938D"/>
            </w:tcBorders>
            <w:noWrap/>
            <w:vAlign w:val="center"/>
            <w:hideMark/>
          </w:tcPr>
          <w:p w14:paraId="6E409F4C"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Significant Adaptive Capacity</w:t>
            </w:r>
          </w:p>
        </w:tc>
        <w:tc>
          <w:tcPr>
            <w:tcW w:w="3274" w:type="pct"/>
            <w:tcBorders>
              <w:top w:val="nil"/>
              <w:left w:val="nil"/>
              <w:bottom w:val="single" w:sz="8" w:space="0" w:color="49938D"/>
              <w:right w:val="single" w:sz="8" w:space="0" w:color="49938D"/>
            </w:tcBorders>
            <w:vAlign w:val="center"/>
            <w:hideMark/>
          </w:tcPr>
          <w:p w14:paraId="402C162E"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 xml:space="preserve">Either local or national policies and programmes in place specifically addressing risk, but there are still gaps </w:t>
            </w:r>
          </w:p>
        </w:tc>
      </w:tr>
      <w:tr w:rsidR="003B33E1" w:rsidRPr="009E6CE3" w14:paraId="220F75B5" w14:textId="77777777" w:rsidTr="00C52D67">
        <w:trPr>
          <w:trHeight w:val="564"/>
        </w:trPr>
        <w:tc>
          <w:tcPr>
            <w:tcW w:w="546" w:type="pct"/>
            <w:tcBorders>
              <w:top w:val="nil"/>
              <w:left w:val="single" w:sz="8" w:space="0" w:color="49938D"/>
              <w:bottom w:val="single" w:sz="8" w:space="0" w:color="49938D"/>
              <w:right w:val="single" w:sz="8" w:space="0" w:color="49938D"/>
            </w:tcBorders>
            <w:shd w:val="clear" w:color="000000" w:fill="92D050"/>
            <w:noWrap/>
            <w:vAlign w:val="center"/>
            <w:hideMark/>
          </w:tcPr>
          <w:p w14:paraId="3549A255" w14:textId="77777777" w:rsidR="003B33E1" w:rsidRPr="009E6CE3" w:rsidRDefault="003B33E1" w:rsidP="00C52D67">
            <w:pPr>
              <w:spacing w:after="0"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3</w:t>
            </w:r>
          </w:p>
        </w:tc>
        <w:tc>
          <w:tcPr>
            <w:tcW w:w="1180" w:type="pct"/>
            <w:tcBorders>
              <w:top w:val="nil"/>
              <w:left w:val="nil"/>
              <w:bottom w:val="single" w:sz="8" w:space="0" w:color="49938D"/>
              <w:right w:val="single" w:sz="8" w:space="0" w:color="49938D"/>
            </w:tcBorders>
            <w:noWrap/>
            <w:vAlign w:val="center"/>
            <w:hideMark/>
          </w:tcPr>
          <w:p w14:paraId="64E55A8A"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High Adaptive Capacity</w:t>
            </w:r>
          </w:p>
        </w:tc>
        <w:tc>
          <w:tcPr>
            <w:tcW w:w="3274" w:type="pct"/>
            <w:tcBorders>
              <w:top w:val="nil"/>
              <w:left w:val="nil"/>
              <w:bottom w:val="single" w:sz="8" w:space="0" w:color="49938D"/>
              <w:right w:val="single" w:sz="8" w:space="0" w:color="49938D"/>
            </w:tcBorders>
            <w:vAlign w:val="center"/>
            <w:hideMark/>
          </w:tcPr>
          <w:p w14:paraId="4DCF3ACC" w14:textId="77777777" w:rsidR="003B33E1" w:rsidRPr="009E6CE3" w:rsidRDefault="003B33E1" w:rsidP="00C52D67">
            <w:pPr>
              <w:spacing w:after="0" w:line="240" w:lineRule="auto"/>
              <w:rPr>
                <w:rFonts w:ascii="Aptos" w:eastAsia="Times New Roman" w:hAnsi="Aptos" w:cs="Times New Roman"/>
                <w:color w:val="000000"/>
                <w:lang w:val="en-GB" w:eastAsia="en-GB"/>
              </w:rPr>
            </w:pPr>
            <w:r w:rsidRPr="009E6CE3">
              <w:rPr>
                <w:rFonts w:ascii="Aptos" w:eastAsia="Times New Roman" w:hAnsi="Aptos" w:cs="Times New Roman"/>
                <w:color w:val="000000"/>
                <w:lang w:val="en-GB" w:eastAsia="en-GB"/>
              </w:rPr>
              <w:t>Well established systems (policies, programmes) that are currently addressing this risk</w:t>
            </w:r>
          </w:p>
        </w:tc>
      </w:tr>
    </w:tbl>
    <w:p w14:paraId="4623732D" w14:textId="77777777" w:rsidR="003B33E1" w:rsidRPr="009E6CE3" w:rsidRDefault="003B33E1" w:rsidP="003B33E1">
      <w:pPr>
        <w:rPr>
          <w:lang w:val="en-GB"/>
        </w:rPr>
      </w:pPr>
    </w:p>
    <w:p w14:paraId="590657B1" w14:textId="77777777" w:rsidR="003B33E1" w:rsidRPr="009E6CE3" w:rsidRDefault="003B33E1" w:rsidP="003B33E1">
      <w:pPr>
        <w:pStyle w:val="Heading2"/>
      </w:pPr>
      <w:r w:rsidRPr="009E6CE3">
        <w:t>Vulnerability</w:t>
      </w:r>
    </w:p>
    <w:p w14:paraId="635F130A" w14:textId="77777777" w:rsidR="003B33E1" w:rsidRPr="009E6CE3" w:rsidRDefault="003B33E1" w:rsidP="003B33E1">
      <w:pPr>
        <w:rPr>
          <w:lang w:val="en-GB" w:eastAsia="en-US"/>
        </w:rPr>
      </w:pPr>
      <w:r w:rsidRPr="00B16544">
        <w:rPr>
          <w:lang w:val="en-GB" w:eastAsia="en-US"/>
        </w:rPr>
        <w:t>The final vulnerability score is calculated by adding the exposure and sensitivity scores, then subtracting the adaptive capacity score.</w:t>
      </w:r>
      <w:r>
        <w:rPr>
          <w:lang w:val="en-GB" w:eastAsia="en-US"/>
        </w:rPr>
        <w:t xml:space="preserve"> Vulnerability is then categorised from Very High to Very Low depending on the final score.</w:t>
      </w:r>
    </w:p>
    <w:tbl>
      <w:tblPr>
        <w:tblW w:w="0" w:type="auto"/>
        <w:tblLook w:val="04A0" w:firstRow="1" w:lastRow="0" w:firstColumn="1" w:lastColumn="0" w:noHBand="0" w:noVBand="1"/>
      </w:tblPr>
      <w:tblGrid>
        <w:gridCol w:w="1550"/>
        <w:gridCol w:w="3118"/>
      </w:tblGrid>
      <w:tr w:rsidR="003B33E1" w:rsidRPr="009E6CE3" w14:paraId="460033FC" w14:textId="77777777" w:rsidTr="00C52D67">
        <w:trPr>
          <w:trHeight w:val="300"/>
        </w:trPr>
        <w:tc>
          <w:tcPr>
            <w:tcW w:w="1550" w:type="dxa"/>
            <w:tcBorders>
              <w:top w:val="single" w:sz="8" w:space="0" w:color="47928D"/>
              <w:left w:val="single" w:sz="8" w:space="0" w:color="47928D"/>
              <w:bottom w:val="single" w:sz="8" w:space="0" w:color="47928D"/>
              <w:right w:val="nil"/>
            </w:tcBorders>
            <w:shd w:val="clear" w:color="000000" w:fill="47928D"/>
            <w:noWrap/>
            <w:vAlign w:val="center"/>
            <w:hideMark/>
          </w:tcPr>
          <w:p w14:paraId="516A5C7F" w14:textId="77777777" w:rsidR="003B33E1" w:rsidRPr="009E6CE3" w:rsidRDefault="003B33E1" w:rsidP="00C52D67">
            <w:pPr>
              <w:spacing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Score</w:t>
            </w:r>
          </w:p>
        </w:tc>
        <w:tc>
          <w:tcPr>
            <w:tcW w:w="3118" w:type="dxa"/>
            <w:tcBorders>
              <w:top w:val="single" w:sz="8" w:space="0" w:color="47928D"/>
              <w:left w:val="nil"/>
              <w:bottom w:val="single" w:sz="8" w:space="0" w:color="47928D"/>
              <w:right w:val="single" w:sz="8" w:space="0" w:color="47928D"/>
            </w:tcBorders>
            <w:shd w:val="clear" w:color="000000" w:fill="47928D"/>
            <w:noWrap/>
            <w:vAlign w:val="center"/>
            <w:hideMark/>
          </w:tcPr>
          <w:p w14:paraId="786B4342" w14:textId="77777777" w:rsidR="003B33E1" w:rsidRPr="009E6CE3" w:rsidRDefault="003B33E1" w:rsidP="00C52D67">
            <w:pPr>
              <w:spacing w:line="240" w:lineRule="auto"/>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Rating</w:t>
            </w:r>
          </w:p>
        </w:tc>
      </w:tr>
      <w:tr w:rsidR="003B33E1" w:rsidRPr="009E6CE3" w14:paraId="02FCA9ED"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0000"/>
            <w:noWrap/>
            <w:vAlign w:val="center"/>
            <w:hideMark/>
          </w:tcPr>
          <w:p w14:paraId="10D731E0" w14:textId="77777777" w:rsidR="003B33E1" w:rsidRPr="009E6CE3" w:rsidRDefault="003B33E1" w:rsidP="00C52D67">
            <w:pPr>
              <w:spacing w:line="240" w:lineRule="auto"/>
              <w:jc w:val="center"/>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Very High</w:t>
            </w:r>
          </w:p>
        </w:tc>
        <w:tc>
          <w:tcPr>
            <w:tcW w:w="3118" w:type="dxa"/>
            <w:tcBorders>
              <w:top w:val="nil"/>
              <w:left w:val="nil"/>
              <w:bottom w:val="single" w:sz="8" w:space="0" w:color="49938D"/>
              <w:right w:val="single" w:sz="8" w:space="0" w:color="49938D"/>
            </w:tcBorders>
            <w:noWrap/>
            <w:vAlign w:val="center"/>
            <w:hideMark/>
          </w:tcPr>
          <w:p w14:paraId="2AA1245C" w14:textId="77777777" w:rsidR="003B33E1" w:rsidRPr="009E6CE3" w:rsidRDefault="003B33E1" w:rsidP="00C52D67">
            <w:pPr>
              <w:spacing w:line="240" w:lineRule="auto"/>
              <w:rPr>
                <w:rFonts w:ascii="Aptos" w:eastAsia="Times New Roman" w:hAnsi="Aptos" w:cs="Times New Roman"/>
                <w:color w:val="000000"/>
                <w:lang w:val="en-GB" w:eastAsia="en-GB"/>
              </w:rPr>
            </w:pPr>
            <w:r w:rsidRPr="009E6CE3">
              <w:rPr>
                <w:rFonts w:ascii="Aptos" w:hAnsi="Aptos"/>
                <w:color w:val="000000"/>
                <w:lang w:val="en-GB"/>
              </w:rPr>
              <w:t>Total Score between 5 &amp; 6</w:t>
            </w:r>
          </w:p>
        </w:tc>
      </w:tr>
      <w:tr w:rsidR="003B33E1" w:rsidRPr="009E6CE3" w14:paraId="39727AD2"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6600"/>
            <w:noWrap/>
            <w:vAlign w:val="center"/>
            <w:hideMark/>
          </w:tcPr>
          <w:p w14:paraId="320FAE08" w14:textId="77777777" w:rsidR="003B33E1" w:rsidRPr="009E6CE3" w:rsidRDefault="003B33E1" w:rsidP="00C52D67">
            <w:pPr>
              <w:spacing w:line="240" w:lineRule="auto"/>
              <w:jc w:val="center"/>
              <w:rPr>
                <w:rFonts w:ascii="Aptos" w:eastAsia="Times New Roman" w:hAnsi="Aptos" w:cs="Times New Roman"/>
                <w:b/>
                <w:bCs/>
                <w:color w:val="FFFFFF"/>
                <w:lang w:val="en-GB" w:eastAsia="en-GB"/>
              </w:rPr>
            </w:pPr>
            <w:r w:rsidRPr="009E6CE3">
              <w:rPr>
                <w:rFonts w:ascii="Aptos" w:eastAsia="Times New Roman" w:hAnsi="Aptos" w:cs="Times New Roman"/>
                <w:b/>
                <w:bCs/>
                <w:color w:val="FFFFFF"/>
                <w:lang w:val="en-GB" w:eastAsia="en-GB"/>
              </w:rPr>
              <w:t>High</w:t>
            </w:r>
          </w:p>
        </w:tc>
        <w:tc>
          <w:tcPr>
            <w:tcW w:w="3118" w:type="dxa"/>
            <w:tcBorders>
              <w:top w:val="nil"/>
              <w:left w:val="nil"/>
              <w:bottom w:val="single" w:sz="8" w:space="0" w:color="49938D"/>
              <w:right w:val="single" w:sz="8" w:space="0" w:color="49938D"/>
            </w:tcBorders>
            <w:noWrap/>
            <w:vAlign w:val="center"/>
            <w:hideMark/>
          </w:tcPr>
          <w:p w14:paraId="1E9446F2" w14:textId="77777777" w:rsidR="003B33E1" w:rsidRPr="009E6CE3" w:rsidRDefault="003B33E1" w:rsidP="00C52D67">
            <w:pPr>
              <w:spacing w:line="240" w:lineRule="auto"/>
              <w:rPr>
                <w:rFonts w:ascii="Aptos" w:eastAsia="Times New Roman" w:hAnsi="Aptos" w:cs="Times New Roman"/>
                <w:color w:val="000000"/>
                <w:lang w:val="en-GB" w:eastAsia="en-GB"/>
              </w:rPr>
            </w:pPr>
            <w:r w:rsidRPr="009E6CE3">
              <w:rPr>
                <w:rFonts w:ascii="Aptos" w:hAnsi="Aptos"/>
                <w:color w:val="000000"/>
                <w:lang w:val="en-GB"/>
              </w:rPr>
              <w:t>Total Score between 3 &amp; 4</w:t>
            </w:r>
          </w:p>
        </w:tc>
      </w:tr>
      <w:tr w:rsidR="003B33E1" w:rsidRPr="009E6CE3" w14:paraId="454CF09F"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FFCC66"/>
            <w:noWrap/>
            <w:vAlign w:val="center"/>
            <w:hideMark/>
          </w:tcPr>
          <w:p w14:paraId="77DE9A02" w14:textId="77777777" w:rsidR="003B33E1" w:rsidRPr="009E6CE3" w:rsidRDefault="003B33E1" w:rsidP="00C52D67">
            <w:pPr>
              <w:spacing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Medium</w:t>
            </w:r>
          </w:p>
        </w:tc>
        <w:tc>
          <w:tcPr>
            <w:tcW w:w="3118" w:type="dxa"/>
            <w:tcBorders>
              <w:top w:val="nil"/>
              <w:left w:val="nil"/>
              <w:bottom w:val="single" w:sz="8" w:space="0" w:color="49938D"/>
              <w:right w:val="single" w:sz="8" w:space="0" w:color="49938D"/>
            </w:tcBorders>
            <w:noWrap/>
            <w:vAlign w:val="center"/>
            <w:hideMark/>
          </w:tcPr>
          <w:p w14:paraId="31C7491F" w14:textId="77777777" w:rsidR="003B33E1" w:rsidRPr="009E6CE3" w:rsidRDefault="003B33E1" w:rsidP="00C52D67">
            <w:pPr>
              <w:spacing w:line="240" w:lineRule="auto"/>
              <w:rPr>
                <w:rFonts w:ascii="Aptos" w:eastAsia="Times New Roman" w:hAnsi="Aptos" w:cs="Times New Roman"/>
                <w:color w:val="000000"/>
                <w:lang w:val="en-GB" w:eastAsia="en-GB"/>
              </w:rPr>
            </w:pPr>
            <w:r w:rsidRPr="009E6CE3">
              <w:rPr>
                <w:rFonts w:ascii="Aptos" w:hAnsi="Aptos"/>
                <w:color w:val="000000"/>
                <w:lang w:val="en-GB"/>
              </w:rPr>
              <w:t>Total Score between 1 &amp; 2</w:t>
            </w:r>
          </w:p>
        </w:tc>
      </w:tr>
      <w:tr w:rsidR="003B33E1" w:rsidRPr="009E6CE3" w14:paraId="1BCF2B64"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92D050"/>
            <w:noWrap/>
            <w:vAlign w:val="center"/>
            <w:hideMark/>
          </w:tcPr>
          <w:p w14:paraId="33B7CCBE" w14:textId="77777777" w:rsidR="003B33E1" w:rsidRPr="009E6CE3" w:rsidRDefault="003B33E1" w:rsidP="00C52D67">
            <w:pPr>
              <w:spacing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Low</w:t>
            </w:r>
          </w:p>
        </w:tc>
        <w:tc>
          <w:tcPr>
            <w:tcW w:w="3118" w:type="dxa"/>
            <w:tcBorders>
              <w:top w:val="nil"/>
              <w:left w:val="nil"/>
              <w:bottom w:val="single" w:sz="8" w:space="0" w:color="49938D"/>
              <w:right w:val="single" w:sz="8" w:space="0" w:color="49938D"/>
            </w:tcBorders>
            <w:noWrap/>
            <w:vAlign w:val="center"/>
            <w:hideMark/>
          </w:tcPr>
          <w:p w14:paraId="2D366BB8" w14:textId="77777777" w:rsidR="003B33E1" w:rsidRPr="009E6CE3" w:rsidRDefault="003B33E1" w:rsidP="00C52D67">
            <w:pPr>
              <w:spacing w:line="240" w:lineRule="auto"/>
              <w:rPr>
                <w:rFonts w:ascii="Aptos" w:eastAsia="Times New Roman" w:hAnsi="Aptos" w:cs="Times New Roman"/>
                <w:color w:val="000000"/>
                <w:lang w:val="en-GB" w:eastAsia="en-GB"/>
              </w:rPr>
            </w:pPr>
            <w:r w:rsidRPr="009E6CE3">
              <w:rPr>
                <w:rFonts w:ascii="Aptos" w:hAnsi="Aptos"/>
                <w:color w:val="000000"/>
                <w:lang w:val="en-GB"/>
              </w:rPr>
              <w:t>Total Score between -1 &amp; 0</w:t>
            </w:r>
          </w:p>
        </w:tc>
      </w:tr>
      <w:tr w:rsidR="003B33E1" w:rsidRPr="009E6CE3" w14:paraId="5C1C66C6" w14:textId="77777777" w:rsidTr="00C52D67">
        <w:trPr>
          <w:trHeight w:val="300"/>
        </w:trPr>
        <w:tc>
          <w:tcPr>
            <w:tcW w:w="1550" w:type="dxa"/>
            <w:tcBorders>
              <w:top w:val="nil"/>
              <w:left w:val="single" w:sz="8" w:space="0" w:color="49938D"/>
              <w:bottom w:val="single" w:sz="8" w:space="0" w:color="49938D"/>
              <w:right w:val="single" w:sz="8" w:space="0" w:color="49938D"/>
            </w:tcBorders>
            <w:shd w:val="clear" w:color="000000" w:fill="DAF2D0"/>
            <w:noWrap/>
            <w:vAlign w:val="center"/>
            <w:hideMark/>
          </w:tcPr>
          <w:p w14:paraId="75C061FC" w14:textId="77777777" w:rsidR="003B33E1" w:rsidRPr="009E6CE3" w:rsidRDefault="003B33E1" w:rsidP="00C52D67">
            <w:pPr>
              <w:spacing w:line="240" w:lineRule="auto"/>
              <w:jc w:val="center"/>
              <w:rPr>
                <w:rFonts w:ascii="Aptos" w:eastAsia="Times New Roman" w:hAnsi="Aptos" w:cs="Times New Roman"/>
                <w:b/>
                <w:bCs/>
                <w:color w:val="000000"/>
                <w:lang w:val="en-GB" w:eastAsia="en-GB"/>
              </w:rPr>
            </w:pPr>
            <w:r w:rsidRPr="009E6CE3">
              <w:rPr>
                <w:rFonts w:ascii="Aptos" w:eastAsia="Times New Roman" w:hAnsi="Aptos" w:cs="Times New Roman"/>
                <w:b/>
                <w:bCs/>
                <w:color w:val="000000"/>
                <w:lang w:val="en-GB" w:eastAsia="en-GB"/>
              </w:rPr>
              <w:t>Very Low</w:t>
            </w:r>
          </w:p>
        </w:tc>
        <w:tc>
          <w:tcPr>
            <w:tcW w:w="3118" w:type="dxa"/>
            <w:tcBorders>
              <w:top w:val="nil"/>
              <w:left w:val="nil"/>
              <w:bottom w:val="single" w:sz="8" w:space="0" w:color="49938D"/>
              <w:right w:val="single" w:sz="8" w:space="0" w:color="49938D"/>
            </w:tcBorders>
            <w:noWrap/>
            <w:vAlign w:val="center"/>
            <w:hideMark/>
          </w:tcPr>
          <w:p w14:paraId="707BE566" w14:textId="77777777" w:rsidR="003B33E1" w:rsidRPr="009E6CE3" w:rsidRDefault="003B33E1" w:rsidP="00C52D67">
            <w:pPr>
              <w:spacing w:line="240" w:lineRule="auto"/>
              <w:rPr>
                <w:rFonts w:ascii="Aptos" w:eastAsia="Times New Roman" w:hAnsi="Aptos" w:cs="Times New Roman"/>
                <w:color w:val="000000"/>
                <w:lang w:val="en-GB" w:eastAsia="en-GB"/>
              </w:rPr>
            </w:pPr>
            <w:r w:rsidRPr="009E6CE3">
              <w:rPr>
                <w:rFonts w:ascii="Aptos" w:hAnsi="Aptos"/>
                <w:color w:val="000000"/>
                <w:lang w:val="en-GB"/>
              </w:rPr>
              <w:t>Total Score between -3 &amp; -2</w:t>
            </w:r>
          </w:p>
        </w:tc>
      </w:tr>
    </w:tbl>
    <w:p w14:paraId="489FA959" w14:textId="77777777" w:rsidR="003B33E1" w:rsidRPr="009E6CE3" w:rsidRDefault="003B33E1" w:rsidP="003B33E1">
      <w:pPr>
        <w:rPr>
          <w:lang w:val="en-GB"/>
        </w:rPr>
      </w:pPr>
      <w:r w:rsidRPr="009E6CE3">
        <w:rPr>
          <w:lang w:val="en-GB"/>
        </w:rPr>
        <w:tab/>
      </w:r>
    </w:p>
    <w:p w14:paraId="303098FE" w14:textId="77777777" w:rsidR="003B33E1" w:rsidRPr="00AD5B49" w:rsidRDefault="003B33E1" w:rsidP="003B33E1"/>
    <w:p w14:paraId="00317953" w14:textId="76B20C22" w:rsidR="00544ADD" w:rsidRPr="003B33E1" w:rsidRDefault="00544ADD" w:rsidP="003B33E1"/>
    <w:sectPr w:rsidR="00544ADD" w:rsidRPr="003B33E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EA0B" w14:textId="77777777" w:rsidR="00AA3A1F" w:rsidRDefault="00AA3A1F" w:rsidP="005B2702">
      <w:pPr>
        <w:spacing w:after="0" w:line="240" w:lineRule="auto"/>
      </w:pPr>
      <w:r>
        <w:separator/>
      </w:r>
    </w:p>
  </w:endnote>
  <w:endnote w:type="continuationSeparator" w:id="0">
    <w:p w14:paraId="600ECAF2" w14:textId="77777777" w:rsidR="00AA3A1F" w:rsidRDefault="00AA3A1F" w:rsidP="005B27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BE7BD" w14:textId="77777777" w:rsidR="00FC5F2B" w:rsidRDefault="00FC5F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99CF0" w14:textId="3A8C39AD" w:rsidR="00CD3D95" w:rsidRDefault="00CD3D95">
    <w:pPr>
      <w:pStyle w:val="Footer"/>
    </w:pPr>
    <w:r>
      <w:rPr>
        <w:noProof/>
      </w:rPr>
      <w:drawing>
        <wp:anchor distT="0" distB="0" distL="114300" distR="114300" simplePos="0" relativeHeight="251658240" behindDoc="0" locked="0" layoutInCell="1" allowOverlap="1" wp14:anchorId="308D72C5" wp14:editId="38CF2D96">
          <wp:simplePos x="0" y="0"/>
          <wp:positionH relativeFrom="column">
            <wp:posOffset>-929640</wp:posOffset>
          </wp:positionH>
          <wp:positionV relativeFrom="page">
            <wp:posOffset>9974580</wp:posOffset>
          </wp:positionV>
          <wp:extent cx="7680960" cy="720090"/>
          <wp:effectExtent l="0" t="0" r="0" b="3810"/>
          <wp:wrapNone/>
          <wp:docPr id="286828968" name="Picture 8" descr="0004-CAGC-CAG%20Word%20Document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0004-CAGC-CAG%20Word%20Document3.jpg"/>
                  <pic:cNvPicPr>
                    <a:picLocks/>
                  </pic:cNvPicPr>
                </pic:nvPicPr>
                <pic:blipFill>
                  <a:blip r:embed="rId1">
                    <a:extLst>
                      <a:ext uri="{28A0092B-C50C-407E-A947-70E740481C1C}">
                        <a14:useLocalDpi xmlns:a14="http://schemas.microsoft.com/office/drawing/2010/main" val="0"/>
                      </a:ext>
                    </a:extLst>
                  </a:blip>
                  <a:srcRect t="93372"/>
                  <a:stretch>
                    <a:fillRect/>
                  </a:stretch>
                </pic:blipFill>
                <pic:spPr bwMode="auto">
                  <a:xfrm>
                    <a:off x="0" y="0"/>
                    <a:ext cx="7680960" cy="72009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8E746" w14:textId="77777777" w:rsidR="00FC5F2B" w:rsidRDefault="00FC5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B73AB" w14:textId="77777777" w:rsidR="00AA3A1F" w:rsidRDefault="00AA3A1F" w:rsidP="005B2702">
      <w:pPr>
        <w:spacing w:after="0" w:line="240" w:lineRule="auto"/>
      </w:pPr>
      <w:r>
        <w:separator/>
      </w:r>
    </w:p>
  </w:footnote>
  <w:footnote w:type="continuationSeparator" w:id="0">
    <w:p w14:paraId="097F8BAA" w14:textId="77777777" w:rsidR="00AA3A1F" w:rsidRDefault="00AA3A1F" w:rsidP="005B2702">
      <w:pPr>
        <w:spacing w:after="0" w:line="240" w:lineRule="auto"/>
      </w:pPr>
      <w:r>
        <w:continuationSeparator/>
      </w:r>
    </w:p>
  </w:footnote>
  <w:footnote w:id="1">
    <w:p w14:paraId="6256BEC3" w14:textId="77777777" w:rsidR="003B33E1" w:rsidRPr="008572D6" w:rsidRDefault="003B33E1" w:rsidP="003B33E1">
      <w:pPr>
        <w:pStyle w:val="FootnoteText"/>
        <w:rPr>
          <w:lang w:val="en-GB"/>
        </w:rPr>
      </w:pPr>
      <w:r>
        <w:rPr>
          <w:rStyle w:val="FootnoteReference"/>
        </w:rPr>
        <w:footnoteRef/>
      </w:r>
      <w:r>
        <w:t xml:space="preserve"> </w:t>
      </w:r>
      <w:r>
        <w:rPr>
          <w:lang w:val="en-GB"/>
        </w:rPr>
        <w:t xml:space="preserve">The detailed scoring matrix </w:t>
      </w:r>
      <w:r>
        <w:rPr>
          <w:lang w:val="en-GB" w:eastAsia="en-US"/>
        </w:rPr>
        <w:t xml:space="preserve">is provided in </w:t>
      </w:r>
      <w:r w:rsidRPr="008572D6">
        <w:rPr>
          <w:i/>
          <w:iCs/>
          <w:lang w:val="en-GB" w:eastAsia="en-US"/>
        </w:rPr>
        <w:fldChar w:fldCharType="begin"/>
      </w:r>
      <w:r w:rsidRPr="008572D6">
        <w:rPr>
          <w:i/>
          <w:iCs/>
          <w:lang w:val="en-GB" w:eastAsia="en-US"/>
        </w:rPr>
        <w:instrText xml:space="preserve"> REF _Ref240961110 \h </w:instrText>
      </w:r>
      <w:r>
        <w:rPr>
          <w:i/>
          <w:iCs/>
          <w:lang w:val="en-GB" w:eastAsia="en-US"/>
        </w:rPr>
        <w:instrText xml:space="preserve"> \* MERGEFORMAT </w:instrText>
      </w:r>
      <w:r w:rsidRPr="008572D6">
        <w:rPr>
          <w:i/>
          <w:iCs/>
          <w:lang w:val="en-GB" w:eastAsia="en-US"/>
        </w:rPr>
      </w:r>
      <w:r w:rsidRPr="008572D6">
        <w:rPr>
          <w:i/>
          <w:iCs/>
          <w:lang w:val="en-GB" w:eastAsia="en-US"/>
        </w:rPr>
        <w:fldChar w:fldCharType="separate"/>
      </w:r>
      <w:r w:rsidRPr="008572D6">
        <w:rPr>
          <w:i/>
          <w:iCs/>
        </w:rPr>
        <w:t>Annex: Scoring Matrix</w:t>
      </w:r>
      <w:r w:rsidRPr="008572D6">
        <w:rPr>
          <w:i/>
          <w:iCs/>
          <w:lang w:val="en-GB" w:eastAsia="en-US"/>
        </w:rPr>
        <w:fldChar w:fldCharType="end"/>
      </w:r>
      <w:r w:rsidRPr="00BB6B9A">
        <w:rPr>
          <w:lang w:val="en-GB" w:eastAsia="en-US"/>
        </w:rPr>
        <w:t>.</w:t>
      </w:r>
    </w:p>
  </w:footnote>
  <w:footnote w:id="2">
    <w:p w14:paraId="34E11FF3" w14:textId="77777777" w:rsidR="003B33E1" w:rsidRPr="00103EDE" w:rsidRDefault="003B33E1" w:rsidP="003B33E1">
      <w:pPr>
        <w:pStyle w:val="FootnoteText"/>
      </w:pPr>
      <w:r>
        <w:rPr>
          <w:rStyle w:val="FootnoteReference"/>
        </w:rPr>
        <w:footnoteRef/>
      </w:r>
      <w:r>
        <w:t xml:space="preserve"> </w:t>
      </w:r>
      <w:hyperlink r:id="rId1" w:history="1">
        <w:r>
          <w:rPr>
            <w:rStyle w:val="Hyperlink"/>
          </w:rPr>
          <w:t>Local Authority Climate Report | West Yorkshire</w:t>
        </w:r>
      </w:hyperlink>
    </w:p>
  </w:footnote>
  <w:footnote w:id="3">
    <w:p w14:paraId="3B937057" w14:textId="77777777" w:rsidR="003B33E1" w:rsidRPr="009C0CFD" w:rsidRDefault="003B33E1" w:rsidP="003B33E1">
      <w:pPr>
        <w:pStyle w:val="FootnoteText"/>
        <w:rPr>
          <w:lang w:val="en-GB"/>
        </w:rPr>
      </w:pPr>
      <w:r>
        <w:rPr>
          <w:rStyle w:val="FootnoteReference"/>
        </w:rPr>
        <w:footnoteRef/>
      </w:r>
      <w:r>
        <w:t xml:space="preserve"> </w:t>
      </w:r>
      <w:hyperlink r:id="rId2" w:anchor="section-67-5-2-10-risks-to-food-security-%e2%80%93-n10" w:history="1">
        <w:r>
          <w:rPr>
            <w:rStyle w:val="Hyperlink"/>
          </w:rPr>
          <w:t>Chapter 5: Land, Nature, and Food - UK Climate Risk</w:t>
        </w:r>
      </w:hyperlink>
    </w:p>
  </w:footnote>
  <w:footnote w:id="4">
    <w:p w14:paraId="224982E3" w14:textId="77777777" w:rsidR="003B33E1" w:rsidRPr="00523E7C" w:rsidRDefault="003B33E1" w:rsidP="003B33E1">
      <w:pPr>
        <w:pStyle w:val="FootnoteText"/>
        <w:rPr>
          <w:lang w:val="en-GB"/>
        </w:rPr>
      </w:pPr>
      <w:r>
        <w:rPr>
          <w:rStyle w:val="FootnoteReference"/>
        </w:rPr>
        <w:footnoteRef/>
      </w:r>
      <w:r>
        <w:t xml:space="preserve"> </w:t>
      </w:r>
      <w:hyperlink r:id="rId3" w:history="1">
        <w:r>
          <w:rPr>
            <w:rStyle w:val="Hyperlink"/>
          </w:rPr>
          <w:t>United Kingdom Food- Security Report | DEFRA (2024)</w:t>
        </w:r>
      </w:hyperlink>
      <w:r>
        <w:t xml:space="preserve"> </w:t>
      </w:r>
    </w:p>
  </w:footnote>
  <w:footnote w:id="5">
    <w:p w14:paraId="792F0AAA" w14:textId="77777777" w:rsidR="003B33E1" w:rsidRPr="004816D5" w:rsidRDefault="003B33E1" w:rsidP="003B33E1">
      <w:pPr>
        <w:pStyle w:val="FootnoteText"/>
      </w:pPr>
      <w:r>
        <w:rPr>
          <w:rStyle w:val="FootnoteReference"/>
        </w:rPr>
        <w:footnoteRef/>
      </w:r>
      <w:r>
        <w:t xml:space="preserve"> </w:t>
      </w:r>
      <w:hyperlink r:id="rId4" w:history="1">
        <w:r>
          <w:rPr>
            <w:rStyle w:val="Hyperlink"/>
          </w:rPr>
          <w:t>Resilience of Cold Supply Chains to Future Heat Risk, Report to CCC (2025)</w:t>
        </w:r>
      </w:hyperlink>
      <w:r>
        <w:t xml:space="preserve"> </w:t>
      </w:r>
    </w:p>
  </w:footnote>
  <w:footnote w:id="6">
    <w:p w14:paraId="1CB9118C" w14:textId="31415C1B" w:rsidR="003B33E1" w:rsidRPr="007261E8" w:rsidRDefault="003B33E1" w:rsidP="003B33E1">
      <w:pPr>
        <w:pStyle w:val="FootnoteText"/>
        <w:rPr>
          <w:lang w:val="en-GB"/>
        </w:rPr>
      </w:pPr>
      <w:r>
        <w:rPr>
          <w:rStyle w:val="FootnoteReference"/>
        </w:rPr>
        <w:footnoteRef/>
      </w:r>
      <w:r>
        <w:t xml:space="preserve"> </w:t>
      </w:r>
      <w:hyperlink r:id="rId5" w:history="1">
        <w:r w:rsidRPr="007D7197">
          <w:rPr>
            <w:rStyle w:val="Hyperlink"/>
          </w:rPr>
          <w:t>Nature Related Climate Risk Exposure in the West Yorkshire Combined Authority (2026)</w:t>
        </w:r>
      </w:hyperlink>
    </w:p>
  </w:footnote>
  <w:footnote w:id="7">
    <w:p w14:paraId="02E2F005" w14:textId="77777777" w:rsidR="003B33E1" w:rsidRPr="005356CA" w:rsidRDefault="003B33E1" w:rsidP="003B33E1">
      <w:pPr>
        <w:pStyle w:val="FootnoteText"/>
        <w:rPr>
          <w:lang w:val="en-GB"/>
        </w:rPr>
      </w:pPr>
      <w:r>
        <w:rPr>
          <w:rStyle w:val="FootnoteReference"/>
        </w:rPr>
        <w:footnoteRef/>
      </w:r>
      <w:r>
        <w:t xml:space="preserve"> </w:t>
      </w:r>
      <w:hyperlink r:id="rId6" w:history="1">
        <w:r>
          <w:rPr>
            <w:rStyle w:val="Hyperlink"/>
          </w:rPr>
          <w:t>Wakefield Joint Strategic Needs Assessment - Food insecurity (2026)</w:t>
        </w:r>
      </w:hyperlink>
      <w:r>
        <w:t xml:space="preserve"> </w:t>
      </w:r>
    </w:p>
  </w:footnote>
  <w:footnote w:id="8">
    <w:p w14:paraId="571EA038" w14:textId="77777777" w:rsidR="003B33E1" w:rsidRPr="00CA18EF" w:rsidRDefault="003B33E1" w:rsidP="003B33E1">
      <w:pPr>
        <w:pStyle w:val="FootnoteText"/>
        <w:rPr>
          <w:lang w:val="en-GB"/>
        </w:rPr>
      </w:pPr>
      <w:r>
        <w:rPr>
          <w:rStyle w:val="FootnoteReference"/>
        </w:rPr>
        <w:footnoteRef/>
      </w:r>
      <w:r>
        <w:t xml:space="preserve"> </w:t>
      </w:r>
      <w:hyperlink r:id="rId7" w:history="1">
        <w:r>
          <w:rPr>
            <w:rStyle w:val="Hyperlink"/>
          </w:rPr>
          <w:t>Bradford Food Insecurity Health Needs Assessment (2025)</w:t>
        </w:r>
      </w:hyperlink>
      <w:r>
        <w:t xml:space="preserve"> </w:t>
      </w:r>
    </w:p>
  </w:footnote>
  <w:footnote w:id="9">
    <w:p w14:paraId="4CF56B39" w14:textId="77777777" w:rsidR="003B33E1" w:rsidRPr="00913A8F" w:rsidRDefault="003B33E1" w:rsidP="003B33E1">
      <w:pPr>
        <w:pStyle w:val="FootnoteText"/>
        <w:rPr>
          <w:lang w:val="en-GB"/>
        </w:rPr>
      </w:pPr>
      <w:r>
        <w:rPr>
          <w:rStyle w:val="FootnoteReference"/>
        </w:rPr>
        <w:footnoteRef/>
      </w:r>
      <w:r>
        <w:t xml:space="preserve"> </w:t>
      </w:r>
      <w:hyperlink r:id="rId8" w:history="1">
        <w:r>
          <w:rPr>
            <w:rStyle w:val="Hyperlink"/>
          </w:rPr>
          <w:t xml:space="preserve">Priority Places </w:t>
        </w:r>
        <w:proofErr w:type="gramStart"/>
        <w:r>
          <w:rPr>
            <w:rStyle w:val="Hyperlink"/>
          </w:rPr>
          <w:t>For</w:t>
        </w:r>
        <w:proofErr w:type="gramEnd"/>
        <w:r>
          <w:rPr>
            <w:rStyle w:val="Hyperlink"/>
          </w:rPr>
          <w:t xml:space="preserve"> Food Index | Consumer Data Research Centre</w:t>
        </w:r>
      </w:hyperlink>
      <w:r>
        <w:t xml:space="preserve"> </w:t>
      </w:r>
    </w:p>
  </w:footnote>
  <w:footnote w:id="10">
    <w:p w14:paraId="7E1F433E" w14:textId="77777777" w:rsidR="003B33E1" w:rsidRPr="004E2FFD" w:rsidRDefault="003B33E1" w:rsidP="003B33E1">
      <w:pPr>
        <w:pStyle w:val="FootnoteText"/>
        <w:rPr>
          <w:lang w:val="en-GB"/>
        </w:rPr>
      </w:pPr>
      <w:r>
        <w:rPr>
          <w:rStyle w:val="FootnoteReference"/>
        </w:rPr>
        <w:footnoteRef/>
      </w:r>
      <w:r>
        <w:t xml:space="preserve"> </w:t>
      </w:r>
      <w:hyperlink r:id="rId9" w:history="1">
        <w:r>
          <w:rPr>
            <w:rStyle w:val="Hyperlink"/>
          </w:rPr>
          <w:t>Calderdale Anti-poverty Annual Report 2025 | Calderdale Council</w:t>
        </w:r>
      </w:hyperlink>
      <w:r>
        <w:t xml:space="preserve"> </w:t>
      </w:r>
    </w:p>
  </w:footnote>
  <w:footnote w:id="11">
    <w:p w14:paraId="1063A40D" w14:textId="77777777" w:rsidR="003B33E1" w:rsidRPr="00C670AC" w:rsidRDefault="003B33E1" w:rsidP="003B33E1">
      <w:pPr>
        <w:pStyle w:val="FootnoteText"/>
        <w:rPr>
          <w:lang w:val="en-GB"/>
        </w:rPr>
      </w:pPr>
      <w:r>
        <w:rPr>
          <w:rStyle w:val="FootnoteReference"/>
        </w:rPr>
        <w:footnoteRef/>
      </w:r>
      <w:r>
        <w:t xml:space="preserve"> </w:t>
      </w:r>
      <w:hyperlink r:id="rId10" w:history="1">
        <w:r>
          <w:rPr>
            <w:rStyle w:val="Hyperlink"/>
          </w:rPr>
          <w:t>Food security and economy | Leeds City Council</w:t>
        </w:r>
      </w:hyperlink>
      <w:r>
        <w:t xml:space="preserve"> </w:t>
      </w:r>
    </w:p>
  </w:footnote>
  <w:footnote w:id="12">
    <w:p w14:paraId="59994A62" w14:textId="77777777" w:rsidR="003B33E1" w:rsidRPr="00C12537" w:rsidRDefault="003B33E1" w:rsidP="003B33E1">
      <w:pPr>
        <w:pStyle w:val="FootnoteText"/>
        <w:rPr>
          <w:lang w:val="en-GB"/>
        </w:rPr>
      </w:pPr>
      <w:r>
        <w:rPr>
          <w:rStyle w:val="FootnoteReference"/>
        </w:rPr>
        <w:footnoteRef/>
      </w:r>
      <w:r>
        <w:t xml:space="preserve"> </w:t>
      </w:r>
      <w:r>
        <w:rPr>
          <w:lang w:val="en-GB"/>
        </w:rPr>
        <w:t>Key s</w:t>
      </w:r>
      <w:r w:rsidRPr="00DC70D0">
        <w:rPr>
          <w:lang w:val="en-GB"/>
        </w:rPr>
        <w:t xml:space="preserve">takeholder </w:t>
      </w:r>
      <w:r>
        <w:rPr>
          <w:lang w:val="en-GB"/>
        </w:rPr>
        <w:t xml:space="preserve">interview 04 September </w:t>
      </w:r>
      <w:r w:rsidRPr="00DC70D0">
        <w:rPr>
          <w:lang w:val="en-GB"/>
        </w:rPr>
        <w:t>2026, facilitated for the West Yorkshire Climate Risk Assessment</w:t>
      </w:r>
    </w:p>
  </w:footnote>
  <w:footnote w:id="13">
    <w:p w14:paraId="68C76C43" w14:textId="77777777" w:rsidR="003B33E1" w:rsidRPr="00862322" w:rsidRDefault="003B33E1" w:rsidP="003B33E1">
      <w:pPr>
        <w:pStyle w:val="FootnoteText"/>
        <w:rPr>
          <w:lang w:val="en-GB"/>
        </w:rPr>
      </w:pPr>
      <w:r>
        <w:rPr>
          <w:rStyle w:val="FootnoteReference"/>
        </w:rPr>
        <w:footnoteRef/>
      </w:r>
      <w:r>
        <w:t xml:space="preserve"> </w:t>
      </w:r>
      <w:hyperlink r:id="rId11" w:history="1">
        <w:r>
          <w:rPr>
            <w:rStyle w:val="Hyperlink"/>
          </w:rPr>
          <w:t>West Yorkshire Food Poverty Network</w:t>
        </w:r>
      </w:hyperlink>
      <w:r>
        <w:t xml:space="preserve"> </w:t>
      </w:r>
    </w:p>
  </w:footnote>
  <w:footnote w:id="14">
    <w:p w14:paraId="45913E4D" w14:textId="77777777" w:rsidR="003B33E1" w:rsidRPr="009C0CFD" w:rsidRDefault="003B33E1" w:rsidP="003B33E1">
      <w:pPr>
        <w:pStyle w:val="FootnoteText"/>
      </w:pPr>
      <w:r>
        <w:rPr>
          <w:rStyle w:val="FootnoteReference"/>
        </w:rPr>
        <w:footnoteRef/>
      </w:r>
      <w:r>
        <w:t xml:space="preserve"> </w:t>
      </w:r>
      <w:hyperlink r:id="rId12" w:history="1">
        <w:r>
          <w:rPr>
            <w:rStyle w:val="Hyperlink"/>
          </w:rPr>
          <w:t>Calderdale Council Cabinet Endorsement of Eating Well; Living Well, Calderdale Food Strategy</w:t>
        </w:r>
      </w:hyperlink>
      <w:r>
        <w:t xml:space="preserve"> </w:t>
      </w:r>
    </w:p>
  </w:footnote>
  <w:footnote w:id="15">
    <w:p w14:paraId="700FE264" w14:textId="77777777" w:rsidR="003B33E1" w:rsidRPr="00DE7AEE" w:rsidRDefault="003B33E1" w:rsidP="003B33E1">
      <w:pPr>
        <w:pStyle w:val="FootnoteText"/>
        <w:rPr>
          <w:lang w:val="en-GB"/>
        </w:rPr>
      </w:pPr>
      <w:r>
        <w:rPr>
          <w:rStyle w:val="FootnoteReference"/>
        </w:rPr>
        <w:footnoteRef/>
      </w:r>
      <w:r>
        <w:t xml:space="preserve"> </w:t>
      </w:r>
      <w:hyperlink r:id="rId13" w:history="1">
        <w:r w:rsidRPr="00245029">
          <w:rPr>
            <w:rStyle w:val="Hyperlink"/>
          </w:rPr>
          <w:t>Bradford climate action plan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8970" w14:textId="77777777" w:rsidR="00FC5F2B" w:rsidRDefault="00FC5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4604" w14:textId="74724F54" w:rsidR="004C7B60" w:rsidRPr="00904F74" w:rsidRDefault="00014B6B" w:rsidP="00904F74">
    <w:pPr>
      <w:pStyle w:val="Subtitle"/>
      <w:numPr>
        <w:ilvl w:val="0"/>
        <w:numId w:val="0"/>
      </w:numPr>
      <w:spacing w:before="240" w:after="0" w:line="259" w:lineRule="auto"/>
      <w:rPr>
        <w:b/>
        <w:color w:val="595959" w:themeColor="text1" w:themeTint="A6"/>
        <w:kern w:val="2"/>
        <w:lang w:val="en-GB" w:eastAsia="en-US"/>
        <w14:ligatures w14:val="standardContextual"/>
      </w:rPr>
    </w:pPr>
    <w:sdt>
      <w:sdtPr>
        <w:rPr>
          <w:b/>
          <w:color w:val="595959" w:themeColor="text1" w:themeTint="A6"/>
          <w:kern w:val="2"/>
          <w:lang w:val="en-GB" w:eastAsia="en-US"/>
          <w14:ligatures w14:val="standardContextual"/>
        </w:rPr>
        <w:id w:val="881905562"/>
        <w:docPartObj>
          <w:docPartGallery w:val="Watermarks"/>
          <w:docPartUnique/>
        </w:docPartObj>
      </w:sdtPr>
      <w:sdtContent>
        <w:r w:rsidRPr="00014B6B">
          <w:rPr>
            <w:b/>
            <w:noProof/>
            <w:color w:val="595959" w:themeColor="text1" w:themeTint="A6"/>
            <w:kern w:val="2"/>
            <w:lang w:val="en-GB" w:eastAsia="en-US"/>
            <w14:ligatures w14:val="standardContextual"/>
          </w:rPr>
          <w:pict w14:anchorId="5AB6ADC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476642" o:spid="_x0000_s1025" type="#_x0000_t136" style="position:absolute;margin-left:0;margin-top:0;width:527.85pt;height:131.95pt;rotation:315;z-index:-251656192;mso-position-horizontal:center;mso-position-horizontal-relative:margin;mso-position-vertical:center;mso-position-vertical-relative:margin" o:allowincell="f" fillcolor="silver" stroked="f">
              <v:fill opacity=".5"/>
              <v:textpath style="font-family:&quot;Calibri&quot;;font-size:1pt" string="CONFIDENTIAL"/>
              <w10:wrap anchorx="margin" anchory="margin"/>
            </v:shape>
          </w:pict>
        </w:r>
      </w:sdtContent>
    </w:sdt>
    <w:r w:rsidR="004C7B60" w:rsidRPr="00904F74">
      <w:rPr>
        <w:b/>
        <w:color w:val="595959" w:themeColor="text1" w:themeTint="A6"/>
        <w:kern w:val="2"/>
        <w:lang w:val="en-GB" w:eastAsia="en-US"/>
        <w14:ligatures w14:val="standardContextual"/>
      </w:rPr>
      <w:t>West Yorkshire Climate Risk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6F477" w14:textId="77777777" w:rsidR="00FC5F2B" w:rsidRDefault="00FC5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3521"/>
    <w:multiLevelType w:val="hybridMultilevel"/>
    <w:tmpl w:val="FD5094E2"/>
    <w:lvl w:ilvl="0" w:tplc="081A3024">
      <w:start w:val="1"/>
      <w:numFmt w:val="bullet"/>
      <w:lvlText w:val=""/>
      <w:lvlJc w:val="left"/>
      <w:pPr>
        <w:ind w:left="720" w:hanging="360"/>
      </w:pPr>
      <w:rPr>
        <w:rFonts w:ascii="Symbol" w:eastAsia="Symbol" w:hAnsi="Symbol" w:cs="Symbol"/>
      </w:rPr>
    </w:lvl>
    <w:lvl w:ilvl="1" w:tplc="34061A32">
      <w:start w:val="1"/>
      <w:numFmt w:val="bullet"/>
      <w:lvlText w:val="o"/>
      <w:lvlJc w:val="left"/>
      <w:pPr>
        <w:ind w:left="1440" w:hanging="360"/>
      </w:pPr>
      <w:rPr>
        <w:rFonts w:ascii="Courier New" w:eastAsia="Courier New" w:hAnsi="Courier New" w:cs="Courier New"/>
      </w:rPr>
    </w:lvl>
    <w:lvl w:ilvl="2" w:tplc="3B78BE2E">
      <w:start w:val="1"/>
      <w:numFmt w:val="bullet"/>
      <w:lvlText w:val=""/>
      <w:lvlJc w:val="left"/>
      <w:pPr>
        <w:ind w:left="2160" w:hanging="360"/>
      </w:pPr>
      <w:rPr>
        <w:rFonts w:ascii="Wingdings" w:eastAsia="Wingdings" w:hAnsi="Wingdings" w:cs="Wingdings"/>
      </w:rPr>
    </w:lvl>
    <w:lvl w:ilvl="3" w:tplc="751064BC">
      <w:start w:val="1"/>
      <w:numFmt w:val="bullet"/>
      <w:lvlText w:val=""/>
      <w:lvlJc w:val="left"/>
      <w:pPr>
        <w:ind w:left="2880" w:hanging="360"/>
      </w:pPr>
      <w:rPr>
        <w:rFonts w:ascii="Symbol" w:eastAsia="Symbol" w:hAnsi="Symbol" w:cs="Symbol"/>
      </w:rPr>
    </w:lvl>
    <w:lvl w:ilvl="4" w:tplc="0BD66C80">
      <w:start w:val="1"/>
      <w:numFmt w:val="bullet"/>
      <w:lvlText w:val="o"/>
      <w:lvlJc w:val="left"/>
      <w:pPr>
        <w:ind w:left="3600" w:hanging="360"/>
      </w:pPr>
      <w:rPr>
        <w:rFonts w:ascii="Courier New" w:eastAsia="Courier New" w:hAnsi="Courier New" w:cs="Courier New"/>
      </w:rPr>
    </w:lvl>
    <w:lvl w:ilvl="5" w:tplc="02DE6CBE">
      <w:start w:val="1"/>
      <w:numFmt w:val="bullet"/>
      <w:lvlText w:val=""/>
      <w:lvlJc w:val="left"/>
      <w:pPr>
        <w:ind w:left="4320" w:hanging="360"/>
      </w:pPr>
      <w:rPr>
        <w:rFonts w:ascii="Wingdings" w:eastAsia="Wingdings" w:hAnsi="Wingdings" w:cs="Wingdings"/>
      </w:rPr>
    </w:lvl>
    <w:lvl w:ilvl="6" w:tplc="141AA156">
      <w:start w:val="1"/>
      <w:numFmt w:val="bullet"/>
      <w:lvlText w:val=""/>
      <w:lvlJc w:val="left"/>
      <w:pPr>
        <w:ind w:left="5040" w:hanging="360"/>
      </w:pPr>
      <w:rPr>
        <w:rFonts w:ascii="Symbol" w:eastAsia="Symbol" w:hAnsi="Symbol" w:cs="Symbol"/>
      </w:rPr>
    </w:lvl>
    <w:lvl w:ilvl="7" w:tplc="D62E5146">
      <w:start w:val="1"/>
      <w:numFmt w:val="bullet"/>
      <w:lvlText w:val="o"/>
      <w:lvlJc w:val="left"/>
      <w:pPr>
        <w:ind w:left="5760" w:hanging="360"/>
      </w:pPr>
      <w:rPr>
        <w:rFonts w:ascii="Courier New" w:eastAsia="Courier New" w:hAnsi="Courier New" w:cs="Courier New"/>
      </w:rPr>
    </w:lvl>
    <w:lvl w:ilvl="8" w:tplc="40C6499E">
      <w:start w:val="1"/>
      <w:numFmt w:val="bullet"/>
      <w:lvlText w:val=""/>
      <w:lvlJc w:val="left"/>
      <w:pPr>
        <w:ind w:left="6480" w:hanging="360"/>
      </w:pPr>
      <w:rPr>
        <w:rFonts w:ascii="Wingdings" w:eastAsia="Wingdings" w:hAnsi="Wingdings" w:cs="Wingdings"/>
      </w:rPr>
    </w:lvl>
  </w:abstractNum>
  <w:abstractNum w:abstractNumId="1" w15:restartNumberingAfterBreak="0">
    <w:nsid w:val="1AC92375"/>
    <w:multiLevelType w:val="hybridMultilevel"/>
    <w:tmpl w:val="D1C4C42E"/>
    <w:lvl w:ilvl="0" w:tplc="AE64D18A">
      <w:start w:val="1"/>
      <w:numFmt w:val="bullet"/>
      <w:lvlText w:val=""/>
      <w:lvlJc w:val="left"/>
      <w:pPr>
        <w:ind w:left="720" w:hanging="360"/>
      </w:pPr>
      <w:rPr>
        <w:rFonts w:ascii="Symbol" w:eastAsia="Symbol" w:hAnsi="Symbol" w:cs="Symbol"/>
      </w:rPr>
    </w:lvl>
    <w:lvl w:ilvl="1" w:tplc="47E21148">
      <w:start w:val="1"/>
      <w:numFmt w:val="bullet"/>
      <w:lvlText w:val="o"/>
      <w:lvlJc w:val="left"/>
      <w:pPr>
        <w:ind w:left="1440" w:hanging="360"/>
      </w:pPr>
      <w:rPr>
        <w:rFonts w:ascii="Courier New" w:eastAsia="Courier New" w:hAnsi="Courier New" w:cs="Courier New"/>
      </w:rPr>
    </w:lvl>
    <w:lvl w:ilvl="2" w:tplc="60B0B564">
      <w:start w:val="1"/>
      <w:numFmt w:val="bullet"/>
      <w:lvlText w:val=""/>
      <w:lvlJc w:val="left"/>
      <w:pPr>
        <w:ind w:left="2160" w:hanging="360"/>
      </w:pPr>
      <w:rPr>
        <w:rFonts w:ascii="Wingdings" w:eastAsia="Wingdings" w:hAnsi="Wingdings" w:cs="Wingdings"/>
      </w:rPr>
    </w:lvl>
    <w:lvl w:ilvl="3" w:tplc="6D105D9E">
      <w:start w:val="1"/>
      <w:numFmt w:val="bullet"/>
      <w:lvlText w:val=""/>
      <w:lvlJc w:val="left"/>
      <w:pPr>
        <w:ind w:left="2880" w:hanging="360"/>
      </w:pPr>
      <w:rPr>
        <w:rFonts w:ascii="Symbol" w:eastAsia="Symbol" w:hAnsi="Symbol" w:cs="Symbol"/>
      </w:rPr>
    </w:lvl>
    <w:lvl w:ilvl="4" w:tplc="FD2079AE">
      <w:start w:val="1"/>
      <w:numFmt w:val="bullet"/>
      <w:lvlText w:val="o"/>
      <w:lvlJc w:val="left"/>
      <w:pPr>
        <w:ind w:left="3600" w:hanging="360"/>
      </w:pPr>
      <w:rPr>
        <w:rFonts w:ascii="Courier New" w:eastAsia="Courier New" w:hAnsi="Courier New" w:cs="Courier New"/>
      </w:rPr>
    </w:lvl>
    <w:lvl w:ilvl="5" w:tplc="9E3ABBE2">
      <w:start w:val="1"/>
      <w:numFmt w:val="bullet"/>
      <w:lvlText w:val=""/>
      <w:lvlJc w:val="left"/>
      <w:pPr>
        <w:ind w:left="4320" w:hanging="360"/>
      </w:pPr>
      <w:rPr>
        <w:rFonts w:ascii="Wingdings" w:eastAsia="Wingdings" w:hAnsi="Wingdings" w:cs="Wingdings"/>
      </w:rPr>
    </w:lvl>
    <w:lvl w:ilvl="6" w:tplc="42B69B02">
      <w:start w:val="1"/>
      <w:numFmt w:val="bullet"/>
      <w:lvlText w:val=""/>
      <w:lvlJc w:val="left"/>
      <w:pPr>
        <w:ind w:left="5040" w:hanging="360"/>
      </w:pPr>
      <w:rPr>
        <w:rFonts w:ascii="Symbol" w:eastAsia="Symbol" w:hAnsi="Symbol" w:cs="Symbol"/>
      </w:rPr>
    </w:lvl>
    <w:lvl w:ilvl="7" w:tplc="052CE1E4">
      <w:start w:val="1"/>
      <w:numFmt w:val="bullet"/>
      <w:lvlText w:val="o"/>
      <w:lvlJc w:val="left"/>
      <w:pPr>
        <w:ind w:left="5760" w:hanging="360"/>
      </w:pPr>
      <w:rPr>
        <w:rFonts w:ascii="Courier New" w:eastAsia="Courier New" w:hAnsi="Courier New" w:cs="Courier New"/>
      </w:rPr>
    </w:lvl>
    <w:lvl w:ilvl="8" w:tplc="73C23B64">
      <w:start w:val="1"/>
      <w:numFmt w:val="bullet"/>
      <w:lvlText w:val=""/>
      <w:lvlJc w:val="left"/>
      <w:pPr>
        <w:ind w:left="6480" w:hanging="360"/>
      </w:pPr>
      <w:rPr>
        <w:rFonts w:ascii="Wingdings" w:eastAsia="Wingdings" w:hAnsi="Wingdings" w:cs="Wingdings"/>
      </w:rPr>
    </w:lvl>
  </w:abstractNum>
  <w:abstractNum w:abstractNumId="2" w15:restartNumberingAfterBreak="0">
    <w:nsid w:val="20314085"/>
    <w:multiLevelType w:val="hybridMultilevel"/>
    <w:tmpl w:val="97C039E6"/>
    <w:lvl w:ilvl="0" w:tplc="8B3C2860">
      <w:start w:val="1"/>
      <w:numFmt w:val="bullet"/>
      <w:lvlText w:val=""/>
      <w:lvlJc w:val="left"/>
      <w:pPr>
        <w:ind w:left="720" w:hanging="360"/>
      </w:pPr>
      <w:rPr>
        <w:rFonts w:ascii="Symbol" w:eastAsia="Symbol" w:hAnsi="Symbol" w:cs="Symbol"/>
      </w:rPr>
    </w:lvl>
    <w:lvl w:ilvl="1" w:tplc="5C76AF90">
      <w:start w:val="1"/>
      <w:numFmt w:val="bullet"/>
      <w:lvlText w:val="o"/>
      <w:lvlJc w:val="left"/>
      <w:pPr>
        <w:ind w:left="1440" w:hanging="360"/>
      </w:pPr>
      <w:rPr>
        <w:rFonts w:ascii="Courier New" w:eastAsia="Courier New" w:hAnsi="Courier New" w:cs="Courier New"/>
      </w:rPr>
    </w:lvl>
    <w:lvl w:ilvl="2" w:tplc="B4383C7E">
      <w:start w:val="1"/>
      <w:numFmt w:val="bullet"/>
      <w:lvlText w:val=""/>
      <w:lvlJc w:val="left"/>
      <w:pPr>
        <w:ind w:left="2160" w:hanging="360"/>
      </w:pPr>
      <w:rPr>
        <w:rFonts w:ascii="Wingdings" w:eastAsia="Wingdings" w:hAnsi="Wingdings" w:cs="Wingdings"/>
      </w:rPr>
    </w:lvl>
    <w:lvl w:ilvl="3" w:tplc="21DEA6D0">
      <w:start w:val="1"/>
      <w:numFmt w:val="bullet"/>
      <w:lvlText w:val=""/>
      <w:lvlJc w:val="left"/>
      <w:pPr>
        <w:ind w:left="2880" w:hanging="360"/>
      </w:pPr>
      <w:rPr>
        <w:rFonts w:ascii="Symbol" w:eastAsia="Symbol" w:hAnsi="Symbol" w:cs="Symbol"/>
      </w:rPr>
    </w:lvl>
    <w:lvl w:ilvl="4" w:tplc="E202F006">
      <w:start w:val="1"/>
      <w:numFmt w:val="bullet"/>
      <w:lvlText w:val="o"/>
      <w:lvlJc w:val="left"/>
      <w:pPr>
        <w:ind w:left="3600" w:hanging="360"/>
      </w:pPr>
      <w:rPr>
        <w:rFonts w:ascii="Courier New" w:eastAsia="Courier New" w:hAnsi="Courier New" w:cs="Courier New"/>
      </w:rPr>
    </w:lvl>
    <w:lvl w:ilvl="5" w:tplc="9D0445B4">
      <w:start w:val="1"/>
      <w:numFmt w:val="bullet"/>
      <w:lvlText w:val=""/>
      <w:lvlJc w:val="left"/>
      <w:pPr>
        <w:ind w:left="4320" w:hanging="360"/>
      </w:pPr>
      <w:rPr>
        <w:rFonts w:ascii="Wingdings" w:eastAsia="Wingdings" w:hAnsi="Wingdings" w:cs="Wingdings"/>
      </w:rPr>
    </w:lvl>
    <w:lvl w:ilvl="6" w:tplc="8B12A55C">
      <w:start w:val="1"/>
      <w:numFmt w:val="bullet"/>
      <w:lvlText w:val=""/>
      <w:lvlJc w:val="left"/>
      <w:pPr>
        <w:ind w:left="5040" w:hanging="360"/>
      </w:pPr>
      <w:rPr>
        <w:rFonts w:ascii="Symbol" w:eastAsia="Symbol" w:hAnsi="Symbol" w:cs="Symbol"/>
      </w:rPr>
    </w:lvl>
    <w:lvl w:ilvl="7" w:tplc="5046F13C">
      <w:start w:val="1"/>
      <w:numFmt w:val="bullet"/>
      <w:lvlText w:val="o"/>
      <w:lvlJc w:val="left"/>
      <w:pPr>
        <w:ind w:left="5760" w:hanging="360"/>
      </w:pPr>
      <w:rPr>
        <w:rFonts w:ascii="Courier New" w:eastAsia="Courier New" w:hAnsi="Courier New" w:cs="Courier New"/>
      </w:rPr>
    </w:lvl>
    <w:lvl w:ilvl="8" w:tplc="5382FE14">
      <w:start w:val="1"/>
      <w:numFmt w:val="bullet"/>
      <w:lvlText w:val=""/>
      <w:lvlJc w:val="left"/>
      <w:pPr>
        <w:ind w:left="6480" w:hanging="360"/>
      </w:pPr>
      <w:rPr>
        <w:rFonts w:ascii="Wingdings" w:eastAsia="Wingdings" w:hAnsi="Wingdings" w:cs="Wingdings"/>
      </w:rPr>
    </w:lvl>
  </w:abstractNum>
  <w:abstractNum w:abstractNumId="3" w15:restartNumberingAfterBreak="0">
    <w:nsid w:val="21ECE9A9"/>
    <w:multiLevelType w:val="hybridMultilevel"/>
    <w:tmpl w:val="3E12AF4A"/>
    <w:lvl w:ilvl="0" w:tplc="5A247D66">
      <w:start w:val="1"/>
      <w:numFmt w:val="bullet"/>
      <w:lvlText w:val=""/>
      <w:lvlJc w:val="left"/>
      <w:pPr>
        <w:ind w:left="720" w:hanging="360"/>
      </w:pPr>
      <w:rPr>
        <w:rFonts w:ascii="Symbol" w:eastAsia="Symbol" w:hAnsi="Symbol" w:cs="Symbol"/>
      </w:rPr>
    </w:lvl>
    <w:lvl w:ilvl="1" w:tplc="50E6E6F6">
      <w:start w:val="1"/>
      <w:numFmt w:val="bullet"/>
      <w:lvlText w:val="o"/>
      <w:lvlJc w:val="left"/>
      <w:pPr>
        <w:ind w:left="1440" w:hanging="360"/>
      </w:pPr>
      <w:rPr>
        <w:rFonts w:ascii="Courier New" w:eastAsia="Courier New" w:hAnsi="Courier New" w:cs="Courier New"/>
      </w:rPr>
    </w:lvl>
    <w:lvl w:ilvl="2" w:tplc="15A6E09A">
      <w:start w:val="1"/>
      <w:numFmt w:val="bullet"/>
      <w:lvlText w:val=""/>
      <w:lvlJc w:val="left"/>
      <w:pPr>
        <w:ind w:left="2160" w:hanging="360"/>
      </w:pPr>
      <w:rPr>
        <w:rFonts w:ascii="Wingdings" w:eastAsia="Wingdings" w:hAnsi="Wingdings" w:cs="Wingdings"/>
      </w:rPr>
    </w:lvl>
    <w:lvl w:ilvl="3" w:tplc="1638BF44">
      <w:start w:val="1"/>
      <w:numFmt w:val="bullet"/>
      <w:lvlText w:val=""/>
      <w:lvlJc w:val="left"/>
      <w:pPr>
        <w:ind w:left="2880" w:hanging="360"/>
      </w:pPr>
      <w:rPr>
        <w:rFonts w:ascii="Symbol" w:eastAsia="Symbol" w:hAnsi="Symbol" w:cs="Symbol"/>
      </w:rPr>
    </w:lvl>
    <w:lvl w:ilvl="4" w:tplc="4ED25C9A">
      <w:start w:val="1"/>
      <w:numFmt w:val="bullet"/>
      <w:lvlText w:val="o"/>
      <w:lvlJc w:val="left"/>
      <w:pPr>
        <w:ind w:left="3600" w:hanging="360"/>
      </w:pPr>
      <w:rPr>
        <w:rFonts w:ascii="Courier New" w:eastAsia="Courier New" w:hAnsi="Courier New" w:cs="Courier New"/>
      </w:rPr>
    </w:lvl>
    <w:lvl w:ilvl="5" w:tplc="D91EF262">
      <w:start w:val="1"/>
      <w:numFmt w:val="bullet"/>
      <w:lvlText w:val=""/>
      <w:lvlJc w:val="left"/>
      <w:pPr>
        <w:ind w:left="4320" w:hanging="360"/>
      </w:pPr>
      <w:rPr>
        <w:rFonts w:ascii="Wingdings" w:eastAsia="Wingdings" w:hAnsi="Wingdings" w:cs="Wingdings"/>
      </w:rPr>
    </w:lvl>
    <w:lvl w:ilvl="6" w:tplc="4E06D206">
      <w:start w:val="1"/>
      <w:numFmt w:val="bullet"/>
      <w:lvlText w:val=""/>
      <w:lvlJc w:val="left"/>
      <w:pPr>
        <w:ind w:left="5040" w:hanging="360"/>
      </w:pPr>
      <w:rPr>
        <w:rFonts w:ascii="Symbol" w:eastAsia="Symbol" w:hAnsi="Symbol" w:cs="Symbol"/>
      </w:rPr>
    </w:lvl>
    <w:lvl w:ilvl="7" w:tplc="A6CC901A">
      <w:start w:val="1"/>
      <w:numFmt w:val="bullet"/>
      <w:lvlText w:val="o"/>
      <w:lvlJc w:val="left"/>
      <w:pPr>
        <w:ind w:left="5760" w:hanging="360"/>
      </w:pPr>
      <w:rPr>
        <w:rFonts w:ascii="Courier New" w:eastAsia="Courier New" w:hAnsi="Courier New" w:cs="Courier New"/>
      </w:rPr>
    </w:lvl>
    <w:lvl w:ilvl="8" w:tplc="A3466798">
      <w:start w:val="1"/>
      <w:numFmt w:val="bullet"/>
      <w:lvlText w:val=""/>
      <w:lvlJc w:val="left"/>
      <w:pPr>
        <w:ind w:left="6480" w:hanging="360"/>
      </w:pPr>
      <w:rPr>
        <w:rFonts w:ascii="Wingdings" w:eastAsia="Wingdings" w:hAnsi="Wingdings" w:cs="Wingdings"/>
      </w:rPr>
    </w:lvl>
  </w:abstractNum>
  <w:abstractNum w:abstractNumId="4" w15:restartNumberingAfterBreak="0">
    <w:nsid w:val="3631BEFF"/>
    <w:multiLevelType w:val="hybridMultilevel"/>
    <w:tmpl w:val="3B42A7F4"/>
    <w:lvl w:ilvl="0" w:tplc="CE30B280">
      <w:start w:val="1"/>
      <w:numFmt w:val="bullet"/>
      <w:lvlText w:val=""/>
      <w:lvlJc w:val="left"/>
      <w:pPr>
        <w:ind w:left="720" w:hanging="360"/>
      </w:pPr>
      <w:rPr>
        <w:rFonts w:ascii="Symbol" w:eastAsia="Symbol" w:hAnsi="Symbol" w:cs="Symbol"/>
      </w:rPr>
    </w:lvl>
    <w:lvl w:ilvl="1" w:tplc="83E8DC08">
      <w:start w:val="1"/>
      <w:numFmt w:val="bullet"/>
      <w:lvlText w:val="o"/>
      <w:lvlJc w:val="left"/>
      <w:pPr>
        <w:ind w:left="1440" w:hanging="360"/>
      </w:pPr>
      <w:rPr>
        <w:rFonts w:ascii="Courier New" w:eastAsia="Courier New" w:hAnsi="Courier New" w:cs="Courier New"/>
      </w:rPr>
    </w:lvl>
    <w:lvl w:ilvl="2" w:tplc="AA74C7F8">
      <w:start w:val="1"/>
      <w:numFmt w:val="bullet"/>
      <w:lvlText w:val=""/>
      <w:lvlJc w:val="left"/>
      <w:pPr>
        <w:ind w:left="2160" w:hanging="360"/>
      </w:pPr>
      <w:rPr>
        <w:rFonts w:ascii="Wingdings" w:eastAsia="Wingdings" w:hAnsi="Wingdings" w:cs="Wingdings"/>
      </w:rPr>
    </w:lvl>
    <w:lvl w:ilvl="3" w:tplc="2C62FCBC">
      <w:start w:val="1"/>
      <w:numFmt w:val="bullet"/>
      <w:lvlText w:val=""/>
      <w:lvlJc w:val="left"/>
      <w:pPr>
        <w:ind w:left="2880" w:hanging="360"/>
      </w:pPr>
      <w:rPr>
        <w:rFonts w:ascii="Symbol" w:eastAsia="Symbol" w:hAnsi="Symbol" w:cs="Symbol"/>
      </w:rPr>
    </w:lvl>
    <w:lvl w:ilvl="4" w:tplc="7A1CE2A2">
      <w:start w:val="1"/>
      <w:numFmt w:val="bullet"/>
      <w:lvlText w:val="o"/>
      <w:lvlJc w:val="left"/>
      <w:pPr>
        <w:ind w:left="3600" w:hanging="360"/>
      </w:pPr>
      <w:rPr>
        <w:rFonts w:ascii="Courier New" w:eastAsia="Courier New" w:hAnsi="Courier New" w:cs="Courier New"/>
      </w:rPr>
    </w:lvl>
    <w:lvl w:ilvl="5" w:tplc="FEFEEE9C">
      <w:start w:val="1"/>
      <w:numFmt w:val="bullet"/>
      <w:lvlText w:val=""/>
      <w:lvlJc w:val="left"/>
      <w:pPr>
        <w:ind w:left="4320" w:hanging="360"/>
      </w:pPr>
      <w:rPr>
        <w:rFonts w:ascii="Wingdings" w:eastAsia="Wingdings" w:hAnsi="Wingdings" w:cs="Wingdings"/>
      </w:rPr>
    </w:lvl>
    <w:lvl w:ilvl="6" w:tplc="7BECB1E4">
      <w:start w:val="1"/>
      <w:numFmt w:val="bullet"/>
      <w:lvlText w:val=""/>
      <w:lvlJc w:val="left"/>
      <w:pPr>
        <w:ind w:left="5040" w:hanging="360"/>
      </w:pPr>
      <w:rPr>
        <w:rFonts w:ascii="Symbol" w:eastAsia="Symbol" w:hAnsi="Symbol" w:cs="Symbol"/>
      </w:rPr>
    </w:lvl>
    <w:lvl w:ilvl="7" w:tplc="F1665E5E">
      <w:start w:val="1"/>
      <w:numFmt w:val="bullet"/>
      <w:lvlText w:val="o"/>
      <w:lvlJc w:val="left"/>
      <w:pPr>
        <w:ind w:left="5760" w:hanging="360"/>
      </w:pPr>
      <w:rPr>
        <w:rFonts w:ascii="Courier New" w:eastAsia="Courier New" w:hAnsi="Courier New" w:cs="Courier New"/>
      </w:rPr>
    </w:lvl>
    <w:lvl w:ilvl="8" w:tplc="A7669EAA">
      <w:start w:val="1"/>
      <w:numFmt w:val="bullet"/>
      <w:lvlText w:val=""/>
      <w:lvlJc w:val="left"/>
      <w:pPr>
        <w:ind w:left="6480" w:hanging="360"/>
      </w:pPr>
      <w:rPr>
        <w:rFonts w:ascii="Wingdings" w:eastAsia="Wingdings" w:hAnsi="Wingdings" w:cs="Wingdings"/>
      </w:rPr>
    </w:lvl>
  </w:abstractNum>
  <w:abstractNum w:abstractNumId="5" w15:restartNumberingAfterBreak="0">
    <w:nsid w:val="41772D9A"/>
    <w:multiLevelType w:val="hybridMultilevel"/>
    <w:tmpl w:val="411C350A"/>
    <w:lvl w:ilvl="0" w:tplc="3676DE8E">
      <w:start w:val="1"/>
      <w:numFmt w:val="bullet"/>
      <w:lvlText w:val=""/>
      <w:lvlJc w:val="left"/>
      <w:pPr>
        <w:ind w:left="720" w:hanging="360"/>
      </w:pPr>
      <w:rPr>
        <w:rFonts w:ascii="Symbol" w:eastAsia="Symbol" w:hAnsi="Symbol" w:cs="Symbol"/>
      </w:rPr>
    </w:lvl>
    <w:lvl w:ilvl="1" w:tplc="6F28B382">
      <w:start w:val="1"/>
      <w:numFmt w:val="bullet"/>
      <w:lvlText w:val="o"/>
      <w:lvlJc w:val="left"/>
      <w:pPr>
        <w:ind w:left="1440" w:hanging="360"/>
      </w:pPr>
      <w:rPr>
        <w:rFonts w:ascii="Courier New" w:eastAsia="Courier New" w:hAnsi="Courier New" w:cs="Courier New"/>
      </w:rPr>
    </w:lvl>
    <w:lvl w:ilvl="2" w:tplc="35E28322">
      <w:start w:val="1"/>
      <w:numFmt w:val="bullet"/>
      <w:lvlText w:val=""/>
      <w:lvlJc w:val="left"/>
      <w:pPr>
        <w:ind w:left="2160" w:hanging="360"/>
      </w:pPr>
      <w:rPr>
        <w:rFonts w:ascii="Wingdings" w:eastAsia="Wingdings" w:hAnsi="Wingdings" w:cs="Wingdings"/>
      </w:rPr>
    </w:lvl>
    <w:lvl w:ilvl="3" w:tplc="1DC0CF40">
      <w:start w:val="1"/>
      <w:numFmt w:val="bullet"/>
      <w:lvlText w:val=""/>
      <w:lvlJc w:val="left"/>
      <w:pPr>
        <w:ind w:left="2880" w:hanging="360"/>
      </w:pPr>
      <w:rPr>
        <w:rFonts w:ascii="Symbol" w:eastAsia="Symbol" w:hAnsi="Symbol" w:cs="Symbol"/>
      </w:rPr>
    </w:lvl>
    <w:lvl w:ilvl="4" w:tplc="89D08F8A">
      <w:start w:val="1"/>
      <w:numFmt w:val="bullet"/>
      <w:lvlText w:val="o"/>
      <w:lvlJc w:val="left"/>
      <w:pPr>
        <w:ind w:left="3600" w:hanging="360"/>
      </w:pPr>
      <w:rPr>
        <w:rFonts w:ascii="Courier New" w:eastAsia="Courier New" w:hAnsi="Courier New" w:cs="Courier New"/>
      </w:rPr>
    </w:lvl>
    <w:lvl w:ilvl="5" w:tplc="499E910C">
      <w:start w:val="1"/>
      <w:numFmt w:val="bullet"/>
      <w:lvlText w:val=""/>
      <w:lvlJc w:val="left"/>
      <w:pPr>
        <w:ind w:left="4320" w:hanging="360"/>
      </w:pPr>
      <w:rPr>
        <w:rFonts w:ascii="Wingdings" w:eastAsia="Wingdings" w:hAnsi="Wingdings" w:cs="Wingdings"/>
      </w:rPr>
    </w:lvl>
    <w:lvl w:ilvl="6" w:tplc="11869D76">
      <w:start w:val="1"/>
      <w:numFmt w:val="bullet"/>
      <w:lvlText w:val=""/>
      <w:lvlJc w:val="left"/>
      <w:pPr>
        <w:ind w:left="5040" w:hanging="360"/>
      </w:pPr>
      <w:rPr>
        <w:rFonts w:ascii="Symbol" w:eastAsia="Symbol" w:hAnsi="Symbol" w:cs="Symbol"/>
      </w:rPr>
    </w:lvl>
    <w:lvl w:ilvl="7" w:tplc="2370EA4E">
      <w:start w:val="1"/>
      <w:numFmt w:val="bullet"/>
      <w:lvlText w:val="o"/>
      <w:lvlJc w:val="left"/>
      <w:pPr>
        <w:ind w:left="5760" w:hanging="360"/>
      </w:pPr>
      <w:rPr>
        <w:rFonts w:ascii="Courier New" w:eastAsia="Courier New" w:hAnsi="Courier New" w:cs="Courier New"/>
      </w:rPr>
    </w:lvl>
    <w:lvl w:ilvl="8" w:tplc="3C669E46">
      <w:start w:val="1"/>
      <w:numFmt w:val="bullet"/>
      <w:lvlText w:val=""/>
      <w:lvlJc w:val="left"/>
      <w:pPr>
        <w:ind w:left="6480" w:hanging="360"/>
      </w:pPr>
      <w:rPr>
        <w:rFonts w:ascii="Wingdings" w:eastAsia="Wingdings" w:hAnsi="Wingdings" w:cs="Wingdings"/>
      </w:rPr>
    </w:lvl>
  </w:abstractNum>
  <w:abstractNum w:abstractNumId="6" w15:restartNumberingAfterBreak="0">
    <w:nsid w:val="4235E980"/>
    <w:multiLevelType w:val="hybridMultilevel"/>
    <w:tmpl w:val="B742E2B8"/>
    <w:lvl w:ilvl="0" w:tplc="66A2E7B2">
      <w:start w:val="1"/>
      <w:numFmt w:val="bullet"/>
      <w:lvlText w:val="●"/>
      <w:lvlJc w:val="left"/>
      <w:pPr>
        <w:ind w:left="720" w:hanging="360"/>
      </w:pPr>
    </w:lvl>
    <w:lvl w:ilvl="1" w:tplc="2F94CCF2">
      <w:start w:val="1"/>
      <w:numFmt w:val="bullet"/>
      <w:lvlText w:val="○"/>
      <w:lvlJc w:val="left"/>
      <w:pPr>
        <w:ind w:left="1440" w:hanging="360"/>
      </w:pPr>
    </w:lvl>
    <w:lvl w:ilvl="2" w:tplc="D680A0DA">
      <w:start w:val="1"/>
      <w:numFmt w:val="bullet"/>
      <w:lvlText w:val="■"/>
      <w:lvlJc w:val="left"/>
      <w:pPr>
        <w:ind w:left="2160" w:hanging="360"/>
      </w:pPr>
    </w:lvl>
    <w:lvl w:ilvl="3" w:tplc="76DA1652">
      <w:start w:val="1"/>
      <w:numFmt w:val="bullet"/>
      <w:lvlText w:val="●"/>
      <w:lvlJc w:val="left"/>
      <w:pPr>
        <w:ind w:left="2880" w:hanging="360"/>
      </w:pPr>
    </w:lvl>
    <w:lvl w:ilvl="4" w:tplc="9904D8D4">
      <w:start w:val="1"/>
      <w:numFmt w:val="bullet"/>
      <w:lvlText w:val="○"/>
      <w:lvlJc w:val="left"/>
      <w:pPr>
        <w:ind w:left="3600" w:hanging="360"/>
      </w:pPr>
    </w:lvl>
    <w:lvl w:ilvl="5" w:tplc="00621190">
      <w:start w:val="1"/>
      <w:numFmt w:val="bullet"/>
      <w:lvlText w:val="■"/>
      <w:lvlJc w:val="left"/>
      <w:pPr>
        <w:ind w:left="4320" w:hanging="360"/>
      </w:pPr>
    </w:lvl>
    <w:lvl w:ilvl="6" w:tplc="18561534">
      <w:start w:val="1"/>
      <w:numFmt w:val="bullet"/>
      <w:lvlText w:val="●"/>
      <w:lvlJc w:val="left"/>
      <w:pPr>
        <w:ind w:left="5040" w:hanging="360"/>
      </w:pPr>
    </w:lvl>
    <w:lvl w:ilvl="7" w:tplc="AF46B67A">
      <w:start w:val="1"/>
      <w:numFmt w:val="bullet"/>
      <w:lvlText w:val="●"/>
      <w:lvlJc w:val="left"/>
      <w:pPr>
        <w:ind w:left="5760" w:hanging="360"/>
      </w:pPr>
    </w:lvl>
    <w:lvl w:ilvl="8" w:tplc="1798AA74">
      <w:start w:val="1"/>
      <w:numFmt w:val="bullet"/>
      <w:lvlText w:val="●"/>
      <w:lvlJc w:val="left"/>
      <w:pPr>
        <w:ind w:left="6480" w:hanging="360"/>
      </w:pPr>
    </w:lvl>
  </w:abstractNum>
  <w:num w:numId="1" w16cid:durableId="439497448">
    <w:abstractNumId w:val="6"/>
    <w:lvlOverride w:ilvl="0">
      <w:startOverride w:val="1"/>
    </w:lvlOverride>
  </w:num>
  <w:num w:numId="2" w16cid:durableId="1048605115">
    <w:abstractNumId w:val="4"/>
  </w:num>
  <w:num w:numId="3" w16cid:durableId="237322515">
    <w:abstractNumId w:val="3"/>
  </w:num>
  <w:num w:numId="4" w16cid:durableId="1422725978">
    <w:abstractNumId w:val="1"/>
  </w:num>
  <w:num w:numId="5" w16cid:durableId="832721559">
    <w:abstractNumId w:val="2"/>
  </w:num>
  <w:num w:numId="6" w16cid:durableId="1237403151">
    <w:abstractNumId w:val="0"/>
  </w:num>
  <w:num w:numId="7" w16cid:durableId="19693855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trackRevision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5BCEEA9"/>
    <w:rsid w:val="00000D79"/>
    <w:rsid w:val="00004EA6"/>
    <w:rsid w:val="00014B6B"/>
    <w:rsid w:val="00014FF7"/>
    <w:rsid w:val="0004242F"/>
    <w:rsid w:val="00051269"/>
    <w:rsid w:val="00053081"/>
    <w:rsid w:val="0005686C"/>
    <w:rsid w:val="000575D1"/>
    <w:rsid w:val="000665FE"/>
    <w:rsid w:val="00067C30"/>
    <w:rsid w:val="00090152"/>
    <w:rsid w:val="000A0D68"/>
    <w:rsid w:val="000E34D7"/>
    <w:rsid w:val="000E4CD9"/>
    <w:rsid w:val="000F12AD"/>
    <w:rsid w:val="000F2188"/>
    <w:rsid w:val="00103DDB"/>
    <w:rsid w:val="00103EDE"/>
    <w:rsid w:val="0015777C"/>
    <w:rsid w:val="00182F7D"/>
    <w:rsid w:val="001A35FC"/>
    <w:rsid w:val="001B4FA0"/>
    <w:rsid w:val="001B57B3"/>
    <w:rsid w:val="001C414F"/>
    <w:rsid w:val="001D3933"/>
    <w:rsid w:val="001D7D7A"/>
    <w:rsid w:val="002054B3"/>
    <w:rsid w:val="0020571C"/>
    <w:rsid w:val="002111F1"/>
    <w:rsid w:val="00225704"/>
    <w:rsid w:val="00230105"/>
    <w:rsid w:val="0023164A"/>
    <w:rsid w:val="00235453"/>
    <w:rsid w:val="002448F1"/>
    <w:rsid w:val="00245029"/>
    <w:rsid w:val="002453E4"/>
    <w:rsid w:val="00246716"/>
    <w:rsid w:val="0025249F"/>
    <w:rsid w:val="0025562B"/>
    <w:rsid w:val="002575B1"/>
    <w:rsid w:val="002623E9"/>
    <w:rsid w:val="00263184"/>
    <w:rsid w:val="00266DF9"/>
    <w:rsid w:val="0028642F"/>
    <w:rsid w:val="00297E33"/>
    <w:rsid w:val="002A5E3F"/>
    <w:rsid w:val="002B0F15"/>
    <w:rsid w:val="002B6480"/>
    <w:rsid w:val="002D0761"/>
    <w:rsid w:val="002D1AB8"/>
    <w:rsid w:val="002D3902"/>
    <w:rsid w:val="002D6C44"/>
    <w:rsid w:val="002E53C6"/>
    <w:rsid w:val="002E675D"/>
    <w:rsid w:val="002F58A9"/>
    <w:rsid w:val="00301D3E"/>
    <w:rsid w:val="00307F9A"/>
    <w:rsid w:val="003313B4"/>
    <w:rsid w:val="00335D72"/>
    <w:rsid w:val="0033717A"/>
    <w:rsid w:val="00340722"/>
    <w:rsid w:val="00342828"/>
    <w:rsid w:val="003628C9"/>
    <w:rsid w:val="00372374"/>
    <w:rsid w:val="00392056"/>
    <w:rsid w:val="0039330A"/>
    <w:rsid w:val="003B33E1"/>
    <w:rsid w:val="003D182C"/>
    <w:rsid w:val="003D7F3C"/>
    <w:rsid w:val="003E408A"/>
    <w:rsid w:val="004016F6"/>
    <w:rsid w:val="004077FF"/>
    <w:rsid w:val="0044621A"/>
    <w:rsid w:val="00456DEA"/>
    <w:rsid w:val="00471FC7"/>
    <w:rsid w:val="004816D5"/>
    <w:rsid w:val="00485079"/>
    <w:rsid w:val="0049634A"/>
    <w:rsid w:val="004A4886"/>
    <w:rsid w:val="004C30D4"/>
    <w:rsid w:val="004C4554"/>
    <w:rsid w:val="004C7B60"/>
    <w:rsid w:val="004E2FFD"/>
    <w:rsid w:val="004F289E"/>
    <w:rsid w:val="005014C9"/>
    <w:rsid w:val="005079A7"/>
    <w:rsid w:val="00511E2D"/>
    <w:rsid w:val="00520498"/>
    <w:rsid w:val="00523E7C"/>
    <w:rsid w:val="005304E5"/>
    <w:rsid w:val="005356CA"/>
    <w:rsid w:val="00544ADD"/>
    <w:rsid w:val="00574B5E"/>
    <w:rsid w:val="0058239F"/>
    <w:rsid w:val="00595E53"/>
    <w:rsid w:val="005A1AD0"/>
    <w:rsid w:val="005B2702"/>
    <w:rsid w:val="005B3A54"/>
    <w:rsid w:val="005B621F"/>
    <w:rsid w:val="005C6CEC"/>
    <w:rsid w:val="005E02DB"/>
    <w:rsid w:val="005F111D"/>
    <w:rsid w:val="006001E9"/>
    <w:rsid w:val="0064083A"/>
    <w:rsid w:val="00651DA6"/>
    <w:rsid w:val="006528B0"/>
    <w:rsid w:val="006554BD"/>
    <w:rsid w:val="00662547"/>
    <w:rsid w:val="00680143"/>
    <w:rsid w:val="00685D27"/>
    <w:rsid w:val="006A3C28"/>
    <w:rsid w:val="006A6A5D"/>
    <w:rsid w:val="006C0E32"/>
    <w:rsid w:val="006C6C21"/>
    <w:rsid w:val="006D56A1"/>
    <w:rsid w:val="00716FD0"/>
    <w:rsid w:val="00724747"/>
    <w:rsid w:val="007261E8"/>
    <w:rsid w:val="007318C3"/>
    <w:rsid w:val="00731A25"/>
    <w:rsid w:val="00737ACC"/>
    <w:rsid w:val="007450FD"/>
    <w:rsid w:val="0075784D"/>
    <w:rsid w:val="00767BEC"/>
    <w:rsid w:val="00770BE9"/>
    <w:rsid w:val="00777B1B"/>
    <w:rsid w:val="00786D9F"/>
    <w:rsid w:val="00790A01"/>
    <w:rsid w:val="007A1BA2"/>
    <w:rsid w:val="007A2A8D"/>
    <w:rsid w:val="007A7F50"/>
    <w:rsid w:val="007C4AEB"/>
    <w:rsid w:val="007D7197"/>
    <w:rsid w:val="007E39F7"/>
    <w:rsid w:val="007E60A6"/>
    <w:rsid w:val="007E7B87"/>
    <w:rsid w:val="007F46EB"/>
    <w:rsid w:val="00801AF8"/>
    <w:rsid w:val="00802663"/>
    <w:rsid w:val="0080409E"/>
    <w:rsid w:val="00804EEA"/>
    <w:rsid w:val="00811E95"/>
    <w:rsid w:val="0082217E"/>
    <w:rsid w:val="00826AB2"/>
    <w:rsid w:val="00827180"/>
    <w:rsid w:val="00852501"/>
    <w:rsid w:val="008542CC"/>
    <w:rsid w:val="00862322"/>
    <w:rsid w:val="0088508D"/>
    <w:rsid w:val="00894D47"/>
    <w:rsid w:val="00896BE7"/>
    <w:rsid w:val="008A0A6D"/>
    <w:rsid w:val="008B13E2"/>
    <w:rsid w:val="008B2F41"/>
    <w:rsid w:val="008B74D2"/>
    <w:rsid w:val="008E2E02"/>
    <w:rsid w:val="008E34E8"/>
    <w:rsid w:val="008E6956"/>
    <w:rsid w:val="008E79A6"/>
    <w:rsid w:val="008F7906"/>
    <w:rsid w:val="00904F74"/>
    <w:rsid w:val="00913A8F"/>
    <w:rsid w:val="00930DD0"/>
    <w:rsid w:val="0093688D"/>
    <w:rsid w:val="00936E05"/>
    <w:rsid w:val="00944DEB"/>
    <w:rsid w:val="009459B1"/>
    <w:rsid w:val="009562DE"/>
    <w:rsid w:val="0096520A"/>
    <w:rsid w:val="00966B62"/>
    <w:rsid w:val="00984006"/>
    <w:rsid w:val="00985543"/>
    <w:rsid w:val="009B4587"/>
    <w:rsid w:val="009C0CFD"/>
    <w:rsid w:val="009E6CE3"/>
    <w:rsid w:val="009F0648"/>
    <w:rsid w:val="00A10D35"/>
    <w:rsid w:val="00A10D3B"/>
    <w:rsid w:val="00A12876"/>
    <w:rsid w:val="00A14A44"/>
    <w:rsid w:val="00A26496"/>
    <w:rsid w:val="00A26BA8"/>
    <w:rsid w:val="00A34102"/>
    <w:rsid w:val="00A50053"/>
    <w:rsid w:val="00A51694"/>
    <w:rsid w:val="00A52039"/>
    <w:rsid w:val="00A556A1"/>
    <w:rsid w:val="00A659A3"/>
    <w:rsid w:val="00A75C91"/>
    <w:rsid w:val="00A769AD"/>
    <w:rsid w:val="00A76A16"/>
    <w:rsid w:val="00A95DBD"/>
    <w:rsid w:val="00AA07DA"/>
    <w:rsid w:val="00AA3922"/>
    <w:rsid w:val="00AA3A1F"/>
    <w:rsid w:val="00AB1DB4"/>
    <w:rsid w:val="00AB7F3C"/>
    <w:rsid w:val="00AC112C"/>
    <w:rsid w:val="00AD071E"/>
    <w:rsid w:val="00AD24A4"/>
    <w:rsid w:val="00AE45E1"/>
    <w:rsid w:val="00AE5522"/>
    <w:rsid w:val="00AE5B54"/>
    <w:rsid w:val="00AF63D5"/>
    <w:rsid w:val="00AF7BB4"/>
    <w:rsid w:val="00B31543"/>
    <w:rsid w:val="00B31AF7"/>
    <w:rsid w:val="00B4792D"/>
    <w:rsid w:val="00B47C7E"/>
    <w:rsid w:val="00B60B5C"/>
    <w:rsid w:val="00B62671"/>
    <w:rsid w:val="00B76B66"/>
    <w:rsid w:val="00B8701A"/>
    <w:rsid w:val="00B936CA"/>
    <w:rsid w:val="00BA5C2B"/>
    <w:rsid w:val="00BB3852"/>
    <w:rsid w:val="00BB6B9A"/>
    <w:rsid w:val="00BC2C88"/>
    <w:rsid w:val="00BC7ADB"/>
    <w:rsid w:val="00BD2A69"/>
    <w:rsid w:val="00BD5E88"/>
    <w:rsid w:val="00C04D05"/>
    <w:rsid w:val="00C12537"/>
    <w:rsid w:val="00C14EBC"/>
    <w:rsid w:val="00C158AC"/>
    <w:rsid w:val="00C25209"/>
    <w:rsid w:val="00C36B87"/>
    <w:rsid w:val="00C670AC"/>
    <w:rsid w:val="00C812BB"/>
    <w:rsid w:val="00C81782"/>
    <w:rsid w:val="00C905C6"/>
    <w:rsid w:val="00C93E16"/>
    <w:rsid w:val="00CA18EF"/>
    <w:rsid w:val="00CB3081"/>
    <w:rsid w:val="00CB42FD"/>
    <w:rsid w:val="00CD3D95"/>
    <w:rsid w:val="00CD4E5B"/>
    <w:rsid w:val="00CD6179"/>
    <w:rsid w:val="00CF6FA0"/>
    <w:rsid w:val="00D0438E"/>
    <w:rsid w:val="00D11A3E"/>
    <w:rsid w:val="00D21297"/>
    <w:rsid w:val="00D2540C"/>
    <w:rsid w:val="00D57A8B"/>
    <w:rsid w:val="00D65CCD"/>
    <w:rsid w:val="00D95A6F"/>
    <w:rsid w:val="00DB2768"/>
    <w:rsid w:val="00DB4D04"/>
    <w:rsid w:val="00DB568D"/>
    <w:rsid w:val="00DB7CAD"/>
    <w:rsid w:val="00DC40F0"/>
    <w:rsid w:val="00DC70D0"/>
    <w:rsid w:val="00DD2720"/>
    <w:rsid w:val="00DD5AD4"/>
    <w:rsid w:val="00DE765E"/>
    <w:rsid w:val="00DE7AEE"/>
    <w:rsid w:val="00DF01F5"/>
    <w:rsid w:val="00DF2DEB"/>
    <w:rsid w:val="00DF67A6"/>
    <w:rsid w:val="00E229FA"/>
    <w:rsid w:val="00E50157"/>
    <w:rsid w:val="00E60DA8"/>
    <w:rsid w:val="00E824CA"/>
    <w:rsid w:val="00E929C3"/>
    <w:rsid w:val="00E96C48"/>
    <w:rsid w:val="00EB02D1"/>
    <w:rsid w:val="00ED2D4A"/>
    <w:rsid w:val="00ED7433"/>
    <w:rsid w:val="00EE72D7"/>
    <w:rsid w:val="00EF6B14"/>
    <w:rsid w:val="00EF73DE"/>
    <w:rsid w:val="00F01920"/>
    <w:rsid w:val="00F036B0"/>
    <w:rsid w:val="00F05A8D"/>
    <w:rsid w:val="00F21328"/>
    <w:rsid w:val="00F2432C"/>
    <w:rsid w:val="00F24467"/>
    <w:rsid w:val="00F32567"/>
    <w:rsid w:val="00F32F2B"/>
    <w:rsid w:val="00F43E7F"/>
    <w:rsid w:val="00F533CD"/>
    <w:rsid w:val="00F540A6"/>
    <w:rsid w:val="00F633A0"/>
    <w:rsid w:val="00F84E1C"/>
    <w:rsid w:val="00F950C5"/>
    <w:rsid w:val="00F97108"/>
    <w:rsid w:val="00FC3070"/>
    <w:rsid w:val="00FC5D29"/>
    <w:rsid w:val="00FC5F2B"/>
    <w:rsid w:val="00FE78DA"/>
    <w:rsid w:val="14FC257C"/>
    <w:rsid w:val="25BCE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216FE"/>
  <w15:docId w15:val="{875B2D76-B175-40AB-99A5-A1443AC15C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44ADD"/>
    <w:pPr>
      <w:keepNext/>
      <w:keepLines/>
      <w:spacing w:before="360" w:after="80" w:line="259" w:lineRule="auto"/>
      <w:ind w:left="432" w:hanging="432"/>
      <w:outlineLvl w:val="0"/>
    </w:pPr>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paragraph" w:styleId="Heading2">
    <w:name w:val="heading 2"/>
    <w:basedOn w:val="Normal"/>
    <w:next w:val="Normal"/>
    <w:link w:val="Heading2Char"/>
    <w:uiPriority w:val="9"/>
    <w:unhideWhenUsed/>
    <w:qFormat/>
    <w:rsid w:val="002A5E3F"/>
    <w:pPr>
      <w:keepNext/>
      <w:keepLines/>
      <w:spacing w:before="160" w:after="80" w:line="259" w:lineRule="auto"/>
      <w:ind w:left="576" w:hanging="576"/>
      <w:outlineLvl w:val="1"/>
    </w:pPr>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4ADD"/>
    <w:rPr>
      <w:rFonts w:asciiTheme="majorHAnsi" w:eastAsiaTheme="majorEastAsia" w:hAnsiTheme="majorHAnsi" w:cstheme="majorBidi"/>
      <w:color w:val="3E706C" w:themeColor="accent1" w:themeShade="BF"/>
      <w:kern w:val="2"/>
      <w:sz w:val="40"/>
      <w:szCs w:val="40"/>
      <w:lang w:val="en-GB" w:eastAsia="en-US"/>
      <w14:ligatures w14:val="standardContextual"/>
    </w:rPr>
  </w:style>
  <w:style w:type="character" w:customStyle="1" w:styleId="Heading2Char">
    <w:name w:val="Heading 2 Char"/>
    <w:basedOn w:val="DefaultParagraphFont"/>
    <w:link w:val="Heading2"/>
    <w:uiPriority w:val="9"/>
    <w:rsid w:val="002A5E3F"/>
    <w:rPr>
      <w:rFonts w:asciiTheme="majorHAnsi" w:eastAsiaTheme="majorEastAsia" w:hAnsiTheme="majorHAnsi" w:cstheme="majorBidi"/>
      <w:color w:val="3E706C" w:themeColor="accent1" w:themeShade="BF"/>
      <w:kern w:val="2"/>
      <w:sz w:val="32"/>
      <w:szCs w:val="32"/>
      <w:lang w:val="en-GB" w:eastAsia="en-US"/>
      <w14:ligatures w14:val="standardContextual"/>
    </w:rPr>
  </w:style>
  <w:style w:type="character" w:customStyle="1" w:styleId="Heading3Char">
    <w:name w:val="Heading 3 Char"/>
    <w:basedOn w:val="DefaultParagraphFont"/>
    <w:link w:val="Heading3"/>
    <w:uiPriority w:val="9"/>
    <w:rPr>
      <w:rFonts w:eastAsiaTheme="majorEastAsia" w:cstheme="majorBidi"/>
      <w:color w:val="0F4761"/>
      <w:sz w:val="28"/>
      <w:szCs w:val="28"/>
    </w:rPr>
  </w:style>
  <w:style w:type="character" w:customStyle="1" w:styleId="Heading4Char">
    <w:name w:val="Heading 4 Char"/>
    <w:basedOn w:val="DefaultParagraphFont"/>
    <w:link w:val="Heading4"/>
    <w:uiPriority w:val="9"/>
    <w:rPr>
      <w:rFonts w:eastAsiaTheme="majorEastAsia" w:cstheme="majorBidi"/>
      <w:i/>
      <w:iCs/>
      <w:color w:val="0F4761"/>
    </w:rPr>
  </w:style>
  <w:style w:type="character" w:customStyle="1" w:styleId="Heading5Char">
    <w:name w:val="Heading 5 Char"/>
    <w:basedOn w:val="DefaultParagraphFont"/>
    <w:link w:val="Heading5"/>
    <w:uiPriority w:val="9"/>
    <w:rPr>
      <w:rFonts w:eastAsiaTheme="majorEastAsia" w:cstheme="majorBidi"/>
      <w:color w:val="0F4761"/>
    </w:rPr>
  </w:style>
  <w:style w:type="character" w:customStyle="1" w:styleId="Heading6Char">
    <w:name w:val="Heading 6 Char"/>
    <w:basedOn w:val="DefaultParagraphFont"/>
    <w:link w:val="Heading6"/>
    <w:uiPriority w:val="9"/>
    <w:rPr>
      <w:rFonts w:eastAsiaTheme="majorEastAsia" w:cstheme="majorBidi"/>
      <w:i/>
      <w:iCs/>
      <w:color w:val="595959"/>
    </w:rPr>
  </w:style>
  <w:style w:type="character" w:customStyle="1" w:styleId="Heading7Char">
    <w:name w:val="Heading 7 Char"/>
    <w:basedOn w:val="DefaultParagraphFont"/>
    <w:link w:val="Heading7"/>
    <w:uiPriority w:val="9"/>
    <w:rPr>
      <w:rFonts w:eastAsiaTheme="majorEastAsia" w:cstheme="majorBidi"/>
      <w:color w:val="595959"/>
    </w:rPr>
  </w:style>
  <w:style w:type="character" w:customStyle="1" w:styleId="Heading8Char">
    <w:name w:val="Heading 8 Char"/>
    <w:basedOn w:val="DefaultParagraphFont"/>
    <w:link w:val="Heading8"/>
    <w:uiPriority w:val="9"/>
    <w:rPr>
      <w:rFonts w:eastAsiaTheme="majorEastAsia" w:cstheme="majorBidi"/>
      <w:i/>
      <w:iCs/>
      <w:color w:val="272727"/>
    </w:rPr>
  </w:style>
  <w:style w:type="character" w:customStyle="1" w:styleId="Heading9Char">
    <w:name w:val="Heading 9 Char"/>
    <w:basedOn w:val="DefaultParagraphFont"/>
    <w:link w:val="Heading9"/>
    <w:uiPriority w:val="9"/>
    <w:rPr>
      <w:rFonts w:eastAsiaTheme="majorEastAsia" w:cstheme="majorBidi"/>
      <w:color w:val="272727"/>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spacing w:val="15"/>
      <w:sz w:val="28"/>
      <w:szCs w:val="28"/>
    </w:rPr>
  </w:style>
  <w:style w:type="character" w:styleId="IntenseEmphasis">
    <w:name w:val="Intense Emphasis"/>
    <w:basedOn w:val="DefaultParagraphFont"/>
    <w:uiPriority w:val="21"/>
    <w:qFormat/>
    <w:rPr>
      <w:i/>
      <w:iCs/>
      <w:color w:val="0F4761"/>
    </w:rPr>
  </w:style>
  <w:style w:type="character" w:customStyle="1" w:styleId="QuoteChar">
    <w:name w:val="Quote Char"/>
    <w:basedOn w:val="DefaultParagraphFont"/>
    <w:link w:val="Quote"/>
    <w:uiPriority w:val="29"/>
    <w:rPr>
      <w:i/>
      <w:iCs/>
      <w:color w:val="404040"/>
    </w:rPr>
  </w:style>
  <w:style w:type="paragraph" w:styleId="Quote">
    <w:name w:val="Quote"/>
    <w:basedOn w:val="Normal"/>
    <w:next w:val="Normal"/>
    <w:link w:val="QuoteChar"/>
    <w:uiPriority w:val="29"/>
    <w:qFormat/>
    <w:pPr>
      <w:spacing w:before="160"/>
      <w:jc w:val="center"/>
    </w:pPr>
    <w:rPr>
      <w:i/>
      <w:iCs/>
      <w:color w:val="404040"/>
    </w:rPr>
  </w:style>
  <w:style w:type="character" w:customStyle="1" w:styleId="IntenseQuoteChar">
    <w:name w:val="Intense Quote Char"/>
    <w:basedOn w:val="DefaultParagraphFont"/>
    <w:link w:val="IntenseQuote"/>
    <w:uiPriority w:val="30"/>
    <w:rPr>
      <w:i/>
      <w:iCs/>
      <w:color w:val="0F4761"/>
    </w:rPr>
  </w:style>
  <w:style w:type="paragraph" w:styleId="IntenseQuote">
    <w:name w:val="Intense Quote"/>
    <w:basedOn w:val="Normal"/>
    <w:next w:val="Normal"/>
    <w:link w:val="IntenseQuoteChar"/>
    <w:uiPriority w:val="30"/>
    <w:qFormat/>
    <w:pPr>
      <w:pBdr>
        <w:top w:val="single" w:sz="4" w:space="10" w:color="0F4761"/>
        <w:bottom w:val="single" w:sz="4" w:space="10" w:color="0F4761"/>
      </w:pBdr>
      <w:spacing w:before="360" w:after="360"/>
      <w:ind w:left="864" w:right="864"/>
      <w:jc w:val="center"/>
    </w:pPr>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39791"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BEBEA" w:themeFill="accent1" w:themeFillTint="33"/>
      </w:tcPr>
    </w:tblStylePr>
    <w:tblStylePr w:type="band1Horz">
      <w:tblPr/>
      <w:tcPr>
        <w:shd w:val="clear" w:color="auto" w:fill="DBEBEA"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pPr>
      <w:ind w:left="720"/>
      <w:contextualSpacing/>
    </w:pPr>
  </w:style>
  <w:style w:type="paragraph" w:customStyle="1" w:styleId="Code">
    <w:name w:val="Code"/>
    <w:basedOn w:val="Normal"/>
    <w:next w:val="Normal"/>
    <w:uiPriority w:val="35"/>
    <w:qFormat/>
    <w:pPr>
      <w:spacing w:before="160"/>
      <w:contextualSpacing/>
    </w:pPr>
    <w:rPr>
      <w:i/>
      <w:iCs/>
      <w:color w:val="404040"/>
    </w:rPr>
  </w:style>
  <w:style w:type="paragraph" w:styleId="FootnoteText">
    <w:name w:val="footnote text"/>
    <w:basedOn w:val="Normal"/>
    <w:link w:val="FootnoteTextChar"/>
    <w:uiPriority w:val="99"/>
    <w:semiHidden/>
    <w:unhideWhenUsed/>
    <w:rsid w:val="00C17A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17A41"/>
    <w:rPr>
      <w:sz w:val="20"/>
      <w:szCs w:val="20"/>
    </w:rPr>
  </w:style>
  <w:style w:type="character" w:styleId="FootnoteReference">
    <w:name w:val="footnote reference"/>
    <w:basedOn w:val="DefaultParagraphFont"/>
    <w:uiPriority w:val="99"/>
    <w:unhideWhenUsed/>
    <w:rsid w:val="00C17A41"/>
    <w:rPr>
      <w:vertAlign w:val="superscript"/>
    </w:rPr>
  </w:style>
  <w:style w:type="character" w:styleId="CommentReference">
    <w:name w:val="annotation reference"/>
    <w:basedOn w:val="DefaultParagraphFont"/>
    <w:uiPriority w:val="99"/>
    <w:semiHidden/>
    <w:unhideWhenUsed/>
    <w:rsid w:val="00301D3E"/>
    <w:rPr>
      <w:sz w:val="16"/>
      <w:szCs w:val="16"/>
    </w:rPr>
  </w:style>
  <w:style w:type="paragraph" w:styleId="CommentText">
    <w:name w:val="annotation text"/>
    <w:basedOn w:val="Normal"/>
    <w:link w:val="CommentTextChar"/>
    <w:uiPriority w:val="99"/>
    <w:unhideWhenUsed/>
    <w:rsid w:val="00301D3E"/>
    <w:pPr>
      <w:spacing w:line="240" w:lineRule="auto"/>
    </w:pPr>
    <w:rPr>
      <w:sz w:val="20"/>
      <w:szCs w:val="20"/>
    </w:rPr>
  </w:style>
  <w:style w:type="character" w:customStyle="1" w:styleId="CommentTextChar">
    <w:name w:val="Comment Text Char"/>
    <w:basedOn w:val="DefaultParagraphFont"/>
    <w:link w:val="CommentText"/>
    <w:uiPriority w:val="99"/>
    <w:rsid w:val="00301D3E"/>
    <w:rPr>
      <w:sz w:val="20"/>
      <w:szCs w:val="20"/>
    </w:rPr>
  </w:style>
  <w:style w:type="paragraph" w:styleId="CommentSubject">
    <w:name w:val="annotation subject"/>
    <w:basedOn w:val="CommentText"/>
    <w:next w:val="CommentText"/>
    <w:link w:val="CommentSubjectChar"/>
    <w:uiPriority w:val="99"/>
    <w:semiHidden/>
    <w:unhideWhenUsed/>
    <w:rsid w:val="00B31543"/>
    <w:rPr>
      <w:b/>
      <w:bCs/>
    </w:rPr>
  </w:style>
  <w:style w:type="character" w:customStyle="1" w:styleId="CommentSubjectChar">
    <w:name w:val="Comment Subject Char"/>
    <w:basedOn w:val="CommentTextChar"/>
    <w:link w:val="CommentSubject"/>
    <w:uiPriority w:val="99"/>
    <w:semiHidden/>
    <w:rsid w:val="00B31543"/>
    <w:rPr>
      <w:b/>
      <w:bCs/>
      <w:sz w:val="20"/>
      <w:szCs w:val="20"/>
    </w:rPr>
  </w:style>
  <w:style w:type="character" w:styleId="Mention">
    <w:name w:val="Mention"/>
    <w:basedOn w:val="DefaultParagraphFont"/>
    <w:uiPriority w:val="99"/>
    <w:unhideWhenUsed/>
    <w:rsid w:val="00C04D05"/>
    <w:rPr>
      <w:color w:val="2B579A"/>
      <w:shd w:val="clear" w:color="auto" w:fill="E1DFDD"/>
    </w:rPr>
  </w:style>
  <w:style w:type="character" w:styleId="UnresolvedMention">
    <w:name w:val="Unresolved Mention"/>
    <w:basedOn w:val="DefaultParagraphFont"/>
    <w:uiPriority w:val="99"/>
    <w:semiHidden/>
    <w:unhideWhenUsed/>
    <w:rsid w:val="00225704"/>
    <w:rPr>
      <w:color w:val="605E5C"/>
      <w:shd w:val="clear" w:color="auto" w:fill="E1DFDD"/>
    </w:rPr>
  </w:style>
  <w:style w:type="paragraph" w:styleId="Header">
    <w:name w:val="header"/>
    <w:basedOn w:val="Normal"/>
    <w:link w:val="HeaderChar"/>
    <w:uiPriority w:val="99"/>
    <w:unhideWhenUsed/>
    <w:rsid w:val="000F21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2188"/>
  </w:style>
  <w:style w:type="paragraph" w:styleId="Footer">
    <w:name w:val="footer"/>
    <w:basedOn w:val="Normal"/>
    <w:link w:val="FooterChar"/>
    <w:uiPriority w:val="99"/>
    <w:unhideWhenUsed/>
    <w:rsid w:val="000F21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2188"/>
  </w:style>
  <w:style w:type="paragraph" w:styleId="Revision">
    <w:name w:val="Revision"/>
    <w:hidden/>
    <w:uiPriority w:val="99"/>
    <w:semiHidden/>
    <w:rsid w:val="001D3933"/>
    <w:pPr>
      <w:spacing w:after="0" w:line="240" w:lineRule="auto"/>
    </w:pPr>
  </w:style>
  <w:style w:type="character" w:styleId="FollowedHyperlink">
    <w:name w:val="FollowedHyperlink"/>
    <w:basedOn w:val="DefaultParagraphFont"/>
    <w:uiPriority w:val="99"/>
    <w:semiHidden/>
    <w:unhideWhenUsed/>
    <w:rsid w:val="00985543"/>
    <w:rPr>
      <w:color w:val="824C11" w:themeColor="followedHyperlink"/>
      <w:u w:val="single"/>
    </w:rPr>
  </w:style>
  <w:style w:type="table" w:styleId="GridTable5Dark-Accent1">
    <w:name w:val="Grid Table 5 Dark Accent 1"/>
    <w:basedOn w:val="TableNormal"/>
    <w:uiPriority w:val="50"/>
    <w:rsid w:val="00AE5B5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BEA"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3979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3979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3979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39791" w:themeFill="accent1"/>
      </w:tcPr>
    </w:tblStylePr>
    <w:tblStylePr w:type="band1Vert">
      <w:tblPr/>
      <w:tcPr>
        <w:shd w:val="clear" w:color="auto" w:fill="B7D7D4" w:themeFill="accent1" w:themeFillTint="66"/>
      </w:tcPr>
    </w:tblStylePr>
    <w:tblStylePr w:type="band1Horz">
      <w:tblPr/>
      <w:tcPr>
        <w:shd w:val="clear" w:color="auto" w:fill="B7D7D4" w:themeFill="accent1" w:themeFillTint="66"/>
      </w:tcPr>
    </w:tblStylePr>
  </w:style>
  <w:style w:type="character" w:styleId="BookTitle">
    <w:name w:val="Book Title"/>
    <w:basedOn w:val="DefaultParagraphFont"/>
    <w:uiPriority w:val="33"/>
    <w:qFormat/>
    <w:rsid w:val="00FC5F2B"/>
    <w:rPr>
      <w:b/>
      <w:bCs/>
      <w:i/>
      <w:iCs/>
      <w:spacing w:val="5"/>
    </w:rPr>
  </w:style>
  <w:style w:type="paragraph" w:styleId="Caption">
    <w:name w:val="caption"/>
    <w:basedOn w:val="Normal"/>
    <w:next w:val="Normal"/>
    <w:uiPriority w:val="35"/>
    <w:unhideWhenUsed/>
    <w:qFormat/>
    <w:rsid w:val="00FC5F2B"/>
    <w:pPr>
      <w:spacing w:after="200" w:line="240" w:lineRule="auto"/>
    </w:pPr>
    <w:rPr>
      <w:i/>
      <w:iCs/>
      <w:color w:val="212121" w:themeColor="text2"/>
      <w:sz w:val="18"/>
      <w:szCs w:val="18"/>
    </w:rPr>
  </w:style>
  <w:style w:type="character" w:styleId="Emphasis">
    <w:name w:val="Emphasis"/>
    <w:basedOn w:val="DefaultParagraphFont"/>
    <w:uiPriority w:val="20"/>
    <w:qFormat/>
    <w:rsid w:val="00FC5F2B"/>
    <w:rPr>
      <w:i/>
      <w:iCs/>
    </w:rPr>
  </w:style>
  <w:style w:type="paragraph" w:styleId="NoSpacing">
    <w:name w:val="No Spacing"/>
    <w:uiPriority w:val="1"/>
    <w:qFormat/>
    <w:rsid w:val="00FC5F2B"/>
    <w:pPr>
      <w:spacing w:after="0" w:line="240" w:lineRule="auto"/>
    </w:pPr>
  </w:style>
  <w:style w:type="character" w:styleId="Strong">
    <w:name w:val="Strong"/>
    <w:basedOn w:val="DefaultParagraphFont"/>
    <w:uiPriority w:val="22"/>
    <w:qFormat/>
    <w:rsid w:val="00FC5F2B"/>
    <w:rPr>
      <w:b/>
      <w:bCs/>
    </w:rPr>
  </w:style>
  <w:style w:type="character" w:styleId="SubtleEmphasis">
    <w:name w:val="Subtle Emphasis"/>
    <w:basedOn w:val="DefaultParagraphFont"/>
    <w:uiPriority w:val="19"/>
    <w:qFormat/>
    <w:rsid w:val="00FC5F2B"/>
    <w:rPr>
      <w:i/>
      <w:iCs/>
      <w:color w:val="404040" w:themeColor="text1" w:themeTint="BF"/>
    </w:rPr>
  </w:style>
  <w:style w:type="character" w:styleId="SubtleReference">
    <w:name w:val="Subtle Reference"/>
    <w:basedOn w:val="DefaultParagraphFont"/>
    <w:uiPriority w:val="31"/>
    <w:qFormat/>
    <w:rsid w:val="00FC5F2B"/>
    <w:rPr>
      <w:smallCaps/>
      <w:color w:val="5A5A5A" w:themeColor="text1" w:themeTint="A5"/>
    </w:rPr>
  </w:style>
  <w:style w:type="paragraph" w:styleId="TOCHeading">
    <w:name w:val="TOC Heading"/>
    <w:basedOn w:val="Heading1"/>
    <w:next w:val="Normal"/>
    <w:uiPriority w:val="39"/>
    <w:semiHidden/>
    <w:unhideWhenUsed/>
    <w:qFormat/>
    <w:rsid w:val="00FC5F2B"/>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8" Type="http://schemas.openxmlformats.org/officeDocument/2006/relationships/hyperlink" Target="https://www.cdrc.ac.uk/priority-places-for-food-index/" TargetMode="External"/><Relationship Id="rId13" Type="http://schemas.openxmlformats.org/officeDocument/2006/relationships/hyperlink" Target="https://www.bradford.gov.uk/media/bm3ps2mc/cbmdcclimateactionplan.pdf" TargetMode="External"/><Relationship Id="rId3" Type="http://schemas.openxmlformats.org/officeDocument/2006/relationships/hyperlink" Target="https://www.gov.uk/government/statistics/united-kingdom-food-security-report-2024/united-kingdom-food-security-report-2024-introduction" TargetMode="External"/><Relationship Id="rId7" Type="http://schemas.openxmlformats.org/officeDocument/2006/relationships/hyperlink" Target="https://jsna.bradford.gov.uk/media/3oqbmjnd/bradford_food_insecurity_hna_2025_final.pdf" TargetMode="External"/><Relationship Id="rId12" Type="http://schemas.openxmlformats.org/officeDocument/2006/relationships/hyperlink" Target="https://calderdale.moderngov.co.uk/documents/s18753/Item%2013%20-%20Endorsement%20of%20Eating%20Well%20Living%20Well%20Calderdale.pdf" TargetMode="External"/><Relationship Id="rId2" Type="http://schemas.openxmlformats.org/officeDocument/2006/relationships/hyperlink" Target="https://www.ukclimaterisk.org/publications/technical-report-ccra4-ia/chapter-5/" TargetMode="External"/><Relationship Id="rId1" Type="http://schemas.openxmlformats.org/officeDocument/2006/relationships/hyperlink" Target="https://www.reports.esriuk.com/view-report/b8eb3cee8f764147a2cfcd69cf36238f/E47000003" TargetMode="External"/><Relationship Id="rId6" Type="http://schemas.openxmlformats.org/officeDocument/2006/relationships/hyperlink" Target="https://www.wakefieldjsna.co.uk/environment-community/food-insecurity/" TargetMode="External"/><Relationship Id="rId11" Type="http://schemas.openxmlformats.org/officeDocument/2006/relationships/hyperlink" Target="https://feedingbritain.org/location/west-yorkshire-food-poverty-network/" TargetMode="External"/><Relationship Id="rId5" Type="http://schemas.openxmlformats.org/officeDocument/2006/relationships/hyperlink" Target="https://cagconsultants.co.uk/wp-content/uploads/2026/10/WYCA-CRVA-Spatial-Assessment-of-Nature-Related-Climate-Risks.pdf" TargetMode="External"/><Relationship Id="rId10" Type="http://schemas.openxmlformats.org/officeDocument/2006/relationships/hyperlink" Target="https://www.leeds.gov.uk/plans-and-strategies/leeds-food-strategy/food-security-and-economy" TargetMode="External"/><Relationship Id="rId4" Type="http://schemas.openxmlformats.org/officeDocument/2006/relationships/hyperlink" Target="https://www.ukclimaterisk.org/wp-content/uploads/2026/05/Resilience-of-cold-supply-chains-to-future-heat-risk-Phase-2-advisory-group-chairs-report.pdf" TargetMode="External"/><Relationship Id="rId9" Type="http://schemas.openxmlformats.org/officeDocument/2006/relationships/hyperlink" Target="https://new.calderdale.gov.uk/sites/default/files/2026-01/Anti-poverty-annual-report-2025.pdf" TargetMode="External"/></Relationships>
</file>

<file path=word/theme/theme1.xml><?xml version="1.0" encoding="utf-8"?>
<a:theme xmlns:a="http://schemas.openxmlformats.org/drawingml/2006/main" name="Office Theme">
  <a:themeElements>
    <a:clrScheme name="CAG 2025">
      <a:dk1>
        <a:sysClr val="windowText" lastClr="000000"/>
      </a:dk1>
      <a:lt1>
        <a:sysClr val="window" lastClr="FFFFFF"/>
      </a:lt1>
      <a:dk2>
        <a:srgbClr val="212121"/>
      </a:dk2>
      <a:lt2>
        <a:srgbClr val="E7E6E6"/>
      </a:lt2>
      <a:accent1>
        <a:srgbClr val="539791"/>
      </a:accent1>
      <a:accent2>
        <a:srgbClr val="E69742"/>
      </a:accent2>
      <a:accent3>
        <a:srgbClr val="164146"/>
      </a:accent3>
      <a:accent4>
        <a:srgbClr val="424342"/>
      </a:accent4>
      <a:accent5>
        <a:srgbClr val="537B97"/>
      </a:accent5>
      <a:accent6>
        <a:srgbClr val="975359"/>
      </a:accent6>
      <a:hlink>
        <a:srgbClr val="824C11"/>
      </a:hlink>
      <a:folHlink>
        <a:srgbClr val="824C1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A93B50C6037BE48BD2AB339F90B25E3" ma:contentTypeVersion="11" ma:contentTypeDescription="Create a new document." ma:contentTypeScope="" ma:versionID="aec01fcd30721544e98749c75e815cf4">
  <xsd:schema xmlns:xsd="http://www.w3.org/2001/XMLSchema" xmlns:xs="http://www.w3.org/2001/XMLSchema" xmlns:p="http://schemas.microsoft.com/office/2006/metadata/properties" xmlns:ns2="e13dd191-148c-44a8-9e0e-8ae84cba73b8" xmlns:ns3="3f181f26-e555-4901-bc2a-e7ed5df31f9c" targetNamespace="http://schemas.microsoft.com/office/2006/metadata/properties" ma:root="true" ma:fieldsID="b92e77adecfcaac24dbc1f5eeeed0c68" ns2:_="" ns3:_="">
    <xsd:import namespace="e13dd191-148c-44a8-9e0e-8ae84cba73b8"/>
    <xsd:import namespace="3f181f26-e555-4901-bc2a-e7ed5df31f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3dd191-148c-44a8-9e0e-8ae84cba73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057b688-5847-4505-b4c4-9f7756de73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181f26-e555-4901-bc2a-e7ed5df31f9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59d0c66-cc99-4dc3-8999-7d7501a19551}" ma:internalName="TaxCatchAll" ma:showField="CatchAllData" ma:web="3f181f26-e555-4901-bc2a-e7ed5df31f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13dd191-148c-44a8-9e0e-8ae84cba73b8">
      <Terms xmlns="http://schemas.microsoft.com/office/infopath/2007/PartnerControls"/>
    </lcf76f155ced4ddcb4097134ff3c332f>
    <TaxCatchAll xmlns="3f181f26-e555-4901-bc2a-e7ed5df31f9c" xsi:nil="true"/>
  </documentManagement>
</p:properties>
</file>

<file path=customXml/itemProps1.xml><?xml version="1.0" encoding="utf-8"?>
<ds:datastoreItem xmlns:ds="http://schemas.openxmlformats.org/officeDocument/2006/customXml" ds:itemID="{B3F0AB5A-1132-4ECC-9BD2-2C5A36718428}">
  <ds:schemaRefs>
    <ds:schemaRef ds:uri="http://schemas.microsoft.com/sharepoint/v3/contenttype/forms"/>
  </ds:schemaRefs>
</ds:datastoreItem>
</file>

<file path=customXml/itemProps2.xml><?xml version="1.0" encoding="utf-8"?>
<ds:datastoreItem xmlns:ds="http://schemas.openxmlformats.org/officeDocument/2006/customXml" ds:itemID="{7CA6ACB7-1C98-46B3-AD5C-CF3E9C1114D1}">
  <ds:schemaRefs>
    <ds:schemaRef ds:uri="http://schemas.openxmlformats.org/officeDocument/2006/bibliography"/>
  </ds:schemaRefs>
</ds:datastoreItem>
</file>

<file path=customXml/itemProps3.xml><?xml version="1.0" encoding="utf-8"?>
<ds:datastoreItem xmlns:ds="http://schemas.openxmlformats.org/officeDocument/2006/customXml" ds:itemID="{48C47AB1-861B-4D82-A774-65D3B2D53E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3dd191-148c-44a8-9e0e-8ae84cba73b8"/>
    <ds:schemaRef ds:uri="3f181f26-e555-4901-bc2a-e7ed5df31f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3A96E90-AF35-4FB5-9C93-0EE0126075DF}">
  <ds:schemaRefs>
    <ds:schemaRef ds:uri="http://schemas.microsoft.com/office/2006/metadata/properties"/>
    <ds:schemaRef ds:uri="http://schemas.microsoft.com/office/infopath/2007/PartnerControls"/>
    <ds:schemaRef ds:uri="e13dd191-148c-44a8-9e0e-8ae84cba73b8"/>
    <ds:schemaRef ds:uri="3f181f26-e555-4901-bc2a-e7ed5df31f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1783</Words>
  <Characters>10166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Document</vt:lpstr>
    </vt:vector>
  </TitlesOfParts>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Un-named</dc:creator>
  <cp:keywords/>
  <cp:lastModifiedBy>Derek Morgan</cp:lastModifiedBy>
  <cp:revision>233</cp:revision>
  <dcterms:created xsi:type="dcterms:W3CDTF">2026-09-17T04:37:00Z</dcterms:created>
  <dcterms:modified xsi:type="dcterms:W3CDTF">2026-10-08T14:18:00Z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0x0101005A93B50C6037BE48BD2AB339F90B25E3</vt:lpwstr>
  </property>
  <property fmtid="{D5CDD505-2E9C-101B-9397-08002B2CF9AE}" pid="3" name="docLang">
    <vt:lpwstr>en</vt:lpwstr>
  </property>
  <property fmtid="{D5CDD505-2E9C-101B-9397-08002B2CF9AE}" pid="4" name="MediaServiceImageTags">
    <vt:lpwstr/>
  </property>
</Properties>
</file>